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A185E" w14:textId="29341E30" w:rsidR="009B2747" w:rsidRPr="00FB224F" w:rsidRDefault="00BA62C7" w:rsidP="009B2747">
      <w:pPr>
        <w:jc w:val="center"/>
        <w:rPr>
          <w:b/>
          <w:bCs/>
          <w:sz w:val="32"/>
          <w:szCs w:val="32"/>
        </w:rPr>
      </w:pPr>
      <w:bookmarkStart w:id="0" w:name="_Hlk183418104"/>
      <w:r w:rsidRPr="00FB224F">
        <w:rPr>
          <w:b/>
          <w:bCs/>
          <w:sz w:val="32"/>
          <w:szCs w:val="32"/>
        </w:rPr>
        <w:t xml:space="preserve">Veileder </w:t>
      </w:r>
      <w:r w:rsidR="00B97D30" w:rsidRPr="00FB224F">
        <w:rPr>
          <w:b/>
          <w:bCs/>
          <w:sz w:val="32"/>
          <w:szCs w:val="32"/>
        </w:rPr>
        <w:t xml:space="preserve">om bruk av </w:t>
      </w:r>
      <w:r w:rsidR="000873CA" w:rsidRPr="00FB224F">
        <w:rPr>
          <w:b/>
          <w:bCs/>
          <w:sz w:val="32"/>
          <w:szCs w:val="32"/>
        </w:rPr>
        <w:t xml:space="preserve">koordineringsgruppen (KOG) og </w:t>
      </w:r>
      <w:r w:rsidR="00CB21BD" w:rsidRPr="00FB224F">
        <w:rPr>
          <w:b/>
          <w:bCs/>
          <w:sz w:val="32"/>
          <w:szCs w:val="32"/>
        </w:rPr>
        <w:t>personundersøkelse for mindreårige (PUM)</w:t>
      </w:r>
    </w:p>
    <w:p w14:paraId="32F5B28E" w14:textId="77777777" w:rsidR="009B2747" w:rsidRDefault="009B2747" w:rsidP="009B2747">
      <w:pPr>
        <w:spacing w:after="0"/>
        <w:rPr>
          <w:b/>
          <w:bCs/>
        </w:rPr>
      </w:pPr>
    </w:p>
    <w:p w14:paraId="16CFB45A" w14:textId="77777777" w:rsidR="0028664D" w:rsidRPr="000778D3" w:rsidRDefault="000778D3" w:rsidP="000778D3">
      <w:pPr>
        <w:spacing w:after="0"/>
        <w:rPr>
          <w:b/>
          <w:bCs/>
        </w:rPr>
      </w:pPr>
      <w:r w:rsidRPr="000778D3">
        <w:rPr>
          <w:b/>
          <w:bCs/>
        </w:rPr>
        <w:t>1.</w:t>
      </w:r>
      <w:r>
        <w:rPr>
          <w:b/>
          <w:bCs/>
        </w:rPr>
        <w:tab/>
      </w:r>
      <w:r w:rsidR="0080472F" w:rsidRPr="000778D3">
        <w:rPr>
          <w:b/>
          <w:bCs/>
        </w:rPr>
        <w:t xml:space="preserve">Formålet med </w:t>
      </w:r>
      <w:r w:rsidR="003635E6" w:rsidRPr="000778D3">
        <w:rPr>
          <w:b/>
          <w:bCs/>
        </w:rPr>
        <w:t>retningslinjene</w:t>
      </w:r>
    </w:p>
    <w:p w14:paraId="39468E1A" w14:textId="0B76E047" w:rsidR="00BB2E30" w:rsidRDefault="003577CF" w:rsidP="0080472F">
      <w:pPr>
        <w:pStyle w:val="Listeavsnitt"/>
        <w:numPr>
          <w:ilvl w:val="0"/>
          <w:numId w:val="3"/>
        </w:numPr>
        <w:spacing w:after="0"/>
      </w:pPr>
      <w:r>
        <w:t xml:space="preserve">Dette dokumentet er utarbeidet av </w:t>
      </w:r>
      <w:r w:rsidR="00687E5F">
        <w:t>Oslo tingrett etter dialog med påtalemyndigh</w:t>
      </w:r>
      <w:r w:rsidR="00830A9F">
        <w:t>eten</w:t>
      </w:r>
      <w:r w:rsidR="00E4069F">
        <w:t xml:space="preserve"> i Oslo politidistrikt</w:t>
      </w:r>
      <w:r w:rsidR="00830A9F">
        <w:t xml:space="preserve">, </w:t>
      </w:r>
      <w:r w:rsidR="00671379">
        <w:t>k</w:t>
      </w:r>
      <w:r w:rsidR="00830A9F">
        <w:t xml:space="preserve">riminalomsorgen og </w:t>
      </w:r>
      <w:r w:rsidR="00671379">
        <w:t>k</w:t>
      </w:r>
      <w:r w:rsidR="00830A9F">
        <w:t>onfliktrådet</w:t>
      </w:r>
      <w:r w:rsidR="00A618EF">
        <w:t>.</w:t>
      </w:r>
      <w:r w:rsidR="00BB2E30">
        <w:rPr>
          <w:rStyle w:val="Fotnotereferanse"/>
        </w:rPr>
        <w:footnoteReference w:id="1"/>
      </w:r>
      <w:r w:rsidR="0028664D">
        <w:t xml:space="preserve"> Øvrige sentrale aktører som Oslo statsadvokatembeter, representanter fra forsvarerne</w:t>
      </w:r>
      <w:r w:rsidR="00671379">
        <w:t xml:space="preserve">, </w:t>
      </w:r>
      <w:r w:rsidR="0028664D">
        <w:t>Kriminalomsorgsdirektoratet</w:t>
      </w:r>
      <w:r w:rsidR="00671379">
        <w:t xml:space="preserve"> og Sekretariatet for konfliktrådene</w:t>
      </w:r>
      <w:r w:rsidR="0028664D">
        <w:t xml:space="preserve"> har fått anledning til å komme med innspill. </w:t>
      </w:r>
    </w:p>
    <w:p w14:paraId="62C65821" w14:textId="77777777" w:rsidR="00577C42" w:rsidRDefault="00A17E02" w:rsidP="00251A94">
      <w:pPr>
        <w:pStyle w:val="Listeavsnitt"/>
        <w:numPr>
          <w:ilvl w:val="0"/>
          <w:numId w:val="3"/>
        </w:numPr>
        <w:spacing w:after="0"/>
      </w:pPr>
      <w:r>
        <w:t>Det rettslige bakteppet er lov</w:t>
      </w:r>
      <w:r w:rsidR="00044A51">
        <w:t xml:space="preserve">endringene </w:t>
      </w:r>
      <w:r w:rsidR="00B97D30">
        <w:t>for å sikre økt hurtighet i straffesakskjeden, herunder når PUM anses nødvendig og når det er tilstrekkelig med referat fra KOG</w:t>
      </w:r>
      <w:r w:rsidR="00983A2A">
        <w:t>.</w:t>
      </w:r>
      <w:r w:rsidR="00B97D30">
        <w:t xml:space="preserve"> Det er</w:t>
      </w:r>
      <w:r w:rsidR="00413EB2">
        <w:t xml:space="preserve"> behov for å sikre </w:t>
      </w:r>
      <w:r w:rsidR="00FD7960">
        <w:t xml:space="preserve">bedre </w:t>
      </w:r>
      <w:r w:rsidR="00086650">
        <w:t>samhandling mellom aktørene</w:t>
      </w:r>
      <w:r w:rsidR="00A618EF">
        <w:t>.</w:t>
      </w:r>
      <w:r w:rsidR="00A618EF">
        <w:rPr>
          <w:rStyle w:val="Fotnotereferanse"/>
        </w:rPr>
        <w:footnoteReference w:id="2"/>
      </w:r>
      <w:r w:rsidR="00A618EF">
        <w:t xml:space="preserve"> </w:t>
      </w:r>
    </w:p>
    <w:p w14:paraId="6E2FDE46" w14:textId="77777777" w:rsidR="00C97F90" w:rsidRDefault="00C97F90" w:rsidP="00251A94">
      <w:pPr>
        <w:pStyle w:val="Listeavsnitt"/>
        <w:numPr>
          <w:ilvl w:val="0"/>
          <w:numId w:val="3"/>
        </w:numPr>
        <w:spacing w:after="0"/>
      </w:pPr>
      <w:r>
        <w:t>Bå</w:t>
      </w:r>
      <w:r w:rsidR="00E9388B">
        <w:t>de KOG og PUM skal bidra til sakens opplysning, og til en større grad av treffsikkerhet ved reaksjonsvalget både for påtalemyndigheten og domstolen.</w:t>
      </w:r>
      <w:r w:rsidR="00E9388B">
        <w:rPr>
          <w:rStyle w:val="Fotnotereferanse"/>
        </w:rPr>
        <w:footnoteReference w:id="3"/>
      </w:r>
    </w:p>
    <w:p w14:paraId="5E508050" w14:textId="77777777" w:rsidR="00C762A3" w:rsidRDefault="00BA62C7" w:rsidP="00770FF7">
      <w:pPr>
        <w:pStyle w:val="Listeavsnitt"/>
        <w:numPr>
          <w:ilvl w:val="0"/>
          <w:numId w:val="3"/>
        </w:numPr>
        <w:spacing w:after="0"/>
      </w:pPr>
      <w:r>
        <w:t>Denne veilederen</w:t>
      </w:r>
      <w:r w:rsidR="00640CC4">
        <w:t xml:space="preserve"> er </w:t>
      </w:r>
      <w:r w:rsidR="00A710B4">
        <w:t>en del av</w:t>
      </w:r>
      <w:r w:rsidR="00640CC4">
        <w:t xml:space="preserve"> etableringen av hurtigspor for mindreårige i Oslo tingrett</w:t>
      </w:r>
      <w:r w:rsidR="00442EEC">
        <w:t xml:space="preserve">, der </w:t>
      </w:r>
      <w:r w:rsidR="0059464F">
        <w:t>et hovedmål er</w:t>
      </w:r>
      <w:r w:rsidR="00442EEC">
        <w:t xml:space="preserve"> å sikre </w:t>
      </w:r>
      <w:r w:rsidR="00A710B4">
        <w:t xml:space="preserve">mer </w:t>
      </w:r>
      <w:r w:rsidR="00442EEC">
        <w:t>effektiv samhandling mellom aktørene</w:t>
      </w:r>
      <w:r w:rsidR="00A710B4">
        <w:t xml:space="preserve"> i hele straffesakskjeden</w:t>
      </w:r>
      <w:r w:rsidR="0059464F">
        <w:t>.</w:t>
      </w:r>
    </w:p>
    <w:p w14:paraId="7AC554FF" w14:textId="2FA16946" w:rsidR="006212D0" w:rsidRDefault="00BA62C7" w:rsidP="00770FF7">
      <w:pPr>
        <w:pStyle w:val="Listeavsnitt"/>
        <w:numPr>
          <w:ilvl w:val="0"/>
          <w:numId w:val="3"/>
        </w:numPr>
        <w:spacing w:after="0"/>
      </w:pPr>
      <w:r>
        <w:t xml:space="preserve">Veilederen </w:t>
      </w:r>
      <w:r w:rsidR="006212D0">
        <w:t xml:space="preserve">gjelder for alle ungdommer som var under 18 år på handlingstidspunktet. </w:t>
      </w:r>
    </w:p>
    <w:p w14:paraId="3D6F2009" w14:textId="340D1AFC" w:rsidR="00C91673" w:rsidRDefault="00BA62C7" w:rsidP="00770FF7">
      <w:pPr>
        <w:pStyle w:val="Listeavsnitt"/>
        <w:numPr>
          <w:ilvl w:val="0"/>
          <w:numId w:val="3"/>
        </w:numPr>
        <w:spacing w:after="0"/>
      </w:pPr>
      <w:r>
        <w:t xml:space="preserve">Veilederen </w:t>
      </w:r>
      <w:r w:rsidR="00316696">
        <w:t>er i samsvar med departementets føringer, og er ment som et praktisk og informativt veiledningsdokument for samtlige aktører</w:t>
      </w:r>
      <w:r w:rsidR="00C91673">
        <w:t>.</w:t>
      </w:r>
      <w:r w:rsidR="0089777A">
        <w:t xml:space="preserve"> </w:t>
      </w:r>
      <w:r w:rsidR="002F166D">
        <w:t>Et hovedpoeng er at a</w:t>
      </w:r>
      <w:r w:rsidR="0089777A">
        <w:t xml:space="preserve">ktørene skal </w:t>
      </w:r>
      <w:r w:rsidR="002F166D">
        <w:t xml:space="preserve">tilpasse </w:t>
      </w:r>
      <w:r w:rsidR="00EC3FE7">
        <w:t xml:space="preserve">saksbehandlingen </w:t>
      </w:r>
      <w:r w:rsidR="006C7137">
        <w:t xml:space="preserve">ut fra en konkret vurdering. </w:t>
      </w:r>
      <w:r w:rsidR="00EC3FE7">
        <w:t xml:space="preserve"> </w:t>
      </w:r>
    </w:p>
    <w:p w14:paraId="6B2CD5CE" w14:textId="77777777" w:rsidR="00A618EF" w:rsidRDefault="00A618EF" w:rsidP="00E4069F">
      <w:pPr>
        <w:spacing w:after="0"/>
      </w:pPr>
    </w:p>
    <w:p w14:paraId="32132630" w14:textId="77777777" w:rsidR="009B2747" w:rsidRPr="00A96C5F" w:rsidRDefault="000778D3" w:rsidP="009B2747">
      <w:pPr>
        <w:spacing w:after="0"/>
        <w:rPr>
          <w:b/>
          <w:bCs/>
        </w:rPr>
      </w:pPr>
      <w:r>
        <w:rPr>
          <w:b/>
          <w:bCs/>
        </w:rPr>
        <w:t>2.</w:t>
      </w:r>
      <w:r>
        <w:rPr>
          <w:b/>
          <w:bCs/>
        </w:rPr>
        <w:tab/>
      </w:r>
      <w:r w:rsidR="009B2747" w:rsidRPr="00A96C5F">
        <w:rPr>
          <w:b/>
          <w:bCs/>
        </w:rPr>
        <w:t>Formålet med KOG</w:t>
      </w:r>
      <w:r w:rsidR="00615A6F">
        <w:rPr>
          <w:b/>
          <w:bCs/>
        </w:rPr>
        <w:t xml:space="preserve"> (koordineringsgruppen)</w:t>
      </w:r>
    </w:p>
    <w:p w14:paraId="23ACDE13" w14:textId="77777777" w:rsidR="00640638" w:rsidRDefault="008D12AF" w:rsidP="009B2747">
      <w:pPr>
        <w:pStyle w:val="Listeavsnitt"/>
        <w:numPr>
          <w:ilvl w:val="0"/>
          <w:numId w:val="1"/>
        </w:numPr>
        <w:spacing w:after="0"/>
      </w:pPr>
      <w:r>
        <w:t xml:space="preserve">KOG </w:t>
      </w:r>
      <w:r w:rsidR="008E22CB">
        <w:t xml:space="preserve">er </w:t>
      </w:r>
      <w:r>
        <w:t>lovregulert i konfliktrådsloven § 22 d.</w:t>
      </w:r>
      <w:r w:rsidR="003441DB">
        <w:rPr>
          <w:rStyle w:val="Fotnotereferanse"/>
        </w:rPr>
        <w:footnoteReference w:id="4"/>
      </w:r>
      <w:r>
        <w:t xml:space="preserve"> </w:t>
      </w:r>
    </w:p>
    <w:p w14:paraId="39D04230" w14:textId="75D0F263" w:rsidR="009B2747" w:rsidRDefault="0005139F" w:rsidP="009B2747">
      <w:pPr>
        <w:pStyle w:val="Listeavsnitt"/>
        <w:numPr>
          <w:ilvl w:val="0"/>
          <w:numId w:val="1"/>
        </w:numPr>
        <w:spacing w:after="0"/>
      </w:pPr>
      <w:r>
        <w:t>KOG er ikke et beslutningsorgan, men kan derimot bidra til sakens opplysning, og til en større grad av treffsikkerhet ved reaksjonsvalget både for påtalemyndigheten og domstolen</w:t>
      </w:r>
      <w:r w:rsidR="009B2747">
        <w:t>.</w:t>
      </w:r>
      <w:r w:rsidR="00AB64BE">
        <w:rPr>
          <w:rStyle w:val="Fotnotereferanse"/>
        </w:rPr>
        <w:footnoteReference w:id="5"/>
      </w:r>
    </w:p>
    <w:p w14:paraId="534EF4A1" w14:textId="77777777" w:rsidR="009779C3" w:rsidRPr="009779C3" w:rsidRDefault="009779C3" w:rsidP="009779C3">
      <w:pPr>
        <w:pStyle w:val="Listeavsnitt"/>
        <w:numPr>
          <w:ilvl w:val="0"/>
          <w:numId w:val="1"/>
        </w:numPr>
        <w:spacing w:after="0" w:line="276" w:lineRule="auto"/>
        <w:rPr>
          <w:rFonts w:eastAsia="Times New Roman" w:cstheme="minorHAnsi"/>
          <w:kern w:val="0"/>
          <w:lang w:eastAsia="nb-NO"/>
          <w14:ligatures w14:val="none"/>
        </w:rPr>
      </w:pPr>
      <w:r w:rsidRPr="009779C3">
        <w:rPr>
          <w:rFonts w:eastAsia="Times New Roman" w:cstheme="minorHAnsi"/>
          <w:kern w:val="0"/>
          <w:lang w:eastAsia="nb-NO"/>
          <w14:ligatures w14:val="none"/>
        </w:rPr>
        <w:t xml:space="preserve">Drøftelsene skal nedfelles i referatet. KOG-referat og eventuell skisse til ungdomsplan skal oversendes til påtalemyndigheten. </w:t>
      </w:r>
    </w:p>
    <w:p w14:paraId="170BA9F2" w14:textId="77777777" w:rsidR="009779C3" w:rsidRPr="009779C3" w:rsidRDefault="009779C3" w:rsidP="009779C3">
      <w:pPr>
        <w:pStyle w:val="Listeavsnitt"/>
        <w:numPr>
          <w:ilvl w:val="0"/>
          <w:numId w:val="1"/>
        </w:numPr>
        <w:spacing w:after="0" w:line="276" w:lineRule="auto"/>
        <w:rPr>
          <w:rFonts w:eastAsia="Times New Roman" w:cstheme="minorHAnsi"/>
          <w:kern w:val="0"/>
          <w:lang w:eastAsia="nb-NO"/>
          <w14:ligatures w14:val="none"/>
        </w:rPr>
      </w:pPr>
      <w:bookmarkStart w:id="1" w:name="_Hlk190338601"/>
      <w:r w:rsidRPr="009779C3">
        <w:rPr>
          <w:rFonts w:eastAsia="Times New Roman" w:cstheme="minorHAnsi"/>
          <w:kern w:val="0"/>
          <w:lang w:eastAsia="nb-NO"/>
          <w14:ligatures w14:val="none"/>
        </w:rPr>
        <w:t xml:space="preserve">KOG-referatet legges frem for retten, uavhengig av straffepåstand. </w:t>
      </w:r>
    </w:p>
    <w:bookmarkEnd w:id="1"/>
    <w:p w14:paraId="058809A0" w14:textId="6BEFACAF" w:rsidR="009B2747" w:rsidRDefault="009B2747" w:rsidP="009B2747">
      <w:pPr>
        <w:pStyle w:val="Listeavsnitt"/>
        <w:numPr>
          <w:ilvl w:val="0"/>
          <w:numId w:val="1"/>
        </w:numPr>
      </w:pPr>
      <w:r>
        <w:t xml:space="preserve">Hovedformålet er å avklare om </w:t>
      </w:r>
      <w:r w:rsidR="00671379">
        <w:t xml:space="preserve">ungdomsoppfølging eller ungdomsstraff er egnet reaksjon. KOG skal drøfte om </w:t>
      </w:r>
      <w:r>
        <w:t xml:space="preserve">ungdommen har et tverrfaglig oppfølgingsbehov, om det er aktuelt med gjenopprettende prosess, og </w:t>
      </w:r>
      <w:r w:rsidR="00671379">
        <w:t>hvilke tiltak som kan være aktuelle for ungdommen</w:t>
      </w:r>
      <w:r>
        <w:t>.</w:t>
      </w:r>
      <w:r w:rsidR="00671379">
        <w:t xml:space="preserve"> KOG kan også gi råd til ungdomskoordinator dersom det er behov for en tverrfaglig drøftelse av en konkret problemstilling under straffegjennomføringen, inkludert om saken bør avbrytes.</w:t>
      </w:r>
      <w:r w:rsidR="008E22CB">
        <w:rPr>
          <w:rStyle w:val="Fotnotereferanse"/>
        </w:rPr>
        <w:footnoteReference w:id="6"/>
      </w:r>
    </w:p>
    <w:p w14:paraId="40B81E06" w14:textId="1AABA6E2" w:rsidR="00671379" w:rsidRDefault="00671379" w:rsidP="009B2747">
      <w:pPr>
        <w:pStyle w:val="Listeavsnitt"/>
        <w:numPr>
          <w:ilvl w:val="0"/>
          <w:numId w:val="1"/>
        </w:numPr>
      </w:pPr>
      <w:r>
        <w:t xml:space="preserve">Dersom KOG vurderer en sak som egnet for ungdomsoppfølging eller ungdomsstraff, skal det utarbeides en skisse til ungdomsplan. </w:t>
      </w:r>
      <w:r w:rsidR="002E4402">
        <w:t xml:space="preserve">Ungdommen har rett til å medvirke til utarbeidelsen av skisse til ungdomsplan. </w:t>
      </w:r>
      <w:r>
        <w:t xml:space="preserve">KOG-referat og skissen skal oversendes påtalemyndigheten. </w:t>
      </w:r>
    </w:p>
    <w:p w14:paraId="4681D66F" w14:textId="77777777" w:rsidR="009779C3" w:rsidRPr="009779C3" w:rsidRDefault="009B2747" w:rsidP="00930AA2">
      <w:pPr>
        <w:pStyle w:val="Listeavsnitt"/>
        <w:numPr>
          <w:ilvl w:val="0"/>
          <w:numId w:val="1"/>
        </w:numPr>
        <w:spacing w:after="0" w:line="276" w:lineRule="auto"/>
        <w:ind w:left="708"/>
        <w:rPr>
          <w:rFonts w:ascii="Times New Roman" w:eastAsia="Times New Roman" w:hAnsi="Times New Roman" w:cs="Times New Roman"/>
          <w:kern w:val="0"/>
          <w:sz w:val="24"/>
          <w:szCs w:val="24"/>
          <w:lang w:eastAsia="nb-NO"/>
          <w14:ligatures w14:val="none"/>
        </w:rPr>
      </w:pPr>
      <w:r>
        <w:t xml:space="preserve">Påtalemyndigheten bruker drøftelse i KOG som grunnlag ved direkteoverføringer til </w:t>
      </w:r>
      <w:r w:rsidR="00671379">
        <w:t>k</w:t>
      </w:r>
      <w:r>
        <w:t>onfliktrådet</w:t>
      </w:r>
      <w:r w:rsidR="00671379">
        <w:t xml:space="preserve"> etter straffeprosessloven § 71a</w:t>
      </w:r>
      <w:r w:rsidR="002E4402">
        <w:t>.</w:t>
      </w:r>
      <w:r w:rsidR="009E0D89">
        <w:t xml:space="preserve"> </w:t>
      </w:r>
      <w:r>
        <w:t xml:space="preserve">Påtalemyndigheten kan bruke KOG-referat i </w:t>
      </w:r>
      <w:r>
        <w:lastRenderedPageBreak/>
        <w:t>stedet for PUM i saker der det tas ut tiltale, dersom dette er tilstrekkelig for å opplyse spørsmål knyttet til straffutmåling og straffegjennomføring.</w:t>
      </w:r>
      <w:r w:rsidR="007003E1">
        <w:rPr>
          <w:rStyle w:val="Fotnotereferanse"/>
        </w:rPr>
        <w:footnoteReference w:id="7"/>
      </w:r>
      <w:r>
        <w:t xml:space="preserve"> </w:t>
      </w:r>
    </w:p>
    <w:p w14:paraId="6496244F" w14:textId="02FE6A39" w:rsidR="009B2747" w:rsidRDefault="009B2747" w:rsidP="009B2747">
      <w:pPr>
        <w:pStyle w:val="Listeavsnitt"/>
        <w:numPr>
          <w:ilvl w:val="0"/>
          <w:numId w:val="1"/>
        </w:numPr>
        <w:spacing w:after="0"/>
      </w:pPr>
      <w:r>
        <w:t xml:space="preserve">Drøfte </w:t>
      </w:r>
      <w:r w:rsidR="002E4402">
        <w:t>om det er behov for å idømme ungdomsstraff med særvilkår, som vil gjelde frem til ungdomsplanmøtet</w:t>
      </w:r>
      <w:r w:rsidR="00C762A3">
        <w:t>,</w:t>
      </w:r>
      <w:r w:rsidR="002E4402">
        <w:rPr>
          <w:rStyle w:val="Fotnotereferanse"/>
        </w:rPr>
        <w:footnoteReference w:id="8"/>
      </w:r>
      <w:r>
        <w:t xml:space="preserve"> og eventuelt om de</w:t>
      </w:r>
      <w:r w:rsidR="00B97D30">
        <w:t>t</w:t>
      </w:r>
      <w:r>
        <w:t xml:space="preserve"> er behov for innhenting av mer informasjon. </w:t>
      </w:r>
    </w:p>
    <w:p w14:paraId="0B1A583A" w14:textId="03474281" w:rsidR="002C0DEB" w:rsidRDefault="002C0DEB" w:rsidP="00C762A3">
      <w:pPr>
        <w:pStyle w:val="Listeavsnitt"/>
        <w:numPr>
          <w:ilvl w:val="0"/>
          <w:numId w:val="1"/>
        </w:numPr>
        <w:spacing w:after="0"/>
      </w:pPr>
      <w:r>
        <w:t>For saker som ikke behandles i KOG, vil det ikke gjelde noe krav om at det utarbeides en skisse til ungdomsplan. I slike saker må derfor påtalemyndigheten både sikre at ungdommen og ungdommens verger har fått utfyllende informasjon om reaksjonens innhold, og at ungdommen har fått anledning til å medvirke til reaksjonsvalget, før overføring til konfliktrådet finner sted.</w:t>
      </w:r>
      <w:r>
        <w:rPr>
          <w:rStyle w:val="Fotnotereferanse"/>
        </w:rPr>
        <w:footnoteReference w:id="9"/>
      </w:r>
    </w:p>
    <w:p w14:paraId="6A39ED64" w14:textId="33AE48E9" w:rsidR="009779C3" w:rsidRDefault="009779C3" w:rsidP="009779C3">
      <w:pPr>
        <w:pStyle w:val="Listeavsnitt"/>
        <w:numPr>
          <w:ilvl w:val="0"/>
          <w:numId w:val="1"/>
        </w:numPr>
      </w:pPr>
      <w:r>
        <w:t xml:space="preserve">Drøfte og avklare om det er behov for PUM, eller om saken er godt nok opplyst på andre måter. Alternativt om anmodningen kan spisses til at PUM bare skal belyse særskilte tema. </w:t>
      </w:r>
    </w:p>
    <w:p w14:paraId="6EFBC523" w14:textId="77777777" w:rsidR="00A501A4" w:rsidRDefault="00A501A4" w:rsidP="00A501A4">
      <w:pPr>
        <w:pStyle w:val="Listeavsnitt"/>
        <w:spacing w:after="0"/>
      </w:pPr>
    </w:p>
    <w:p w14:paraId="4BC6B2C5" w14:textId="77777777" w:rsidR="009B2747" w:rsidRPr="009B2747" w:rsidRDefault="000778D3" w:rsidP="009B2747">
      <w:pPr>
        <w:spacing w:after="0"/>
      </w:pPr>
      <w:r w:rsidRPr="00FB224F">
        <w:rPr>
          <w:b/>
          <w:bCs/>
        </w:rPr>
        <w:t>3.</w:t>
      </w:r>
      <w:r>
        <w:rPr>
          <w:b/>
          <w:bCs/>
          <w:i/>
          <w:iCs/>
        </w:rPr>
        <w:tab/>
      </w:r>
      <w:r w:rsidR="009B2747" w:rsidRPr="000778D3">
        <w:rPr>
          <w:b/>
          <w:bCs/>
        </w:rPr>
        <w:t>Påtalemyndighetens behandling av informasjon fra KOG mv.</w:t>
      </w:r>
    </w:p>
    <w:p w14:paraId="20C50E81" w14:textId="5FCEF659" w:rsidR="009B2747" w:rsidRDefault="009B2747" w:rsidP="009B2747">
      <w:pPr>
        <w:pStyle w:val="Listeavsnitt"/>
        <w:numPr>
          <w:ilvl w:val="0"/>
          <w:numId w:val="1"/>
        </w:numPr>
        <w:spacing w:after="0"/>
      </w:pPr>
      <w:r>
        <w:t>KOG-referat</w:t>
      </w:r>
      <w:r w:rsidR="009E0D89">
        <w:t xml:space="preserve"> og evt. skisse til ungdomsplan</w:t>
      </w:r>
      <w:r w:rsidR="00C762A3">
        <w:t>,</w:t>
      </w:r>
      <w:r>
        <w:t xml:space="preserve"> PUM og informasjon fra ungdomsenheten </w:t>
      </w:r>
      <w:r w:rsidR="007E4986">
        <w:t xml:space="preserve">om ungdommen </w:t>
      </w:r>
      <w:r>
        <w:t xml:space="preserve">legges som 00-dokument i BL-saken, og skjermes fra andre medsiktede. </w:t>
      </w:r>
    </w:p>
    <w:p w14:paraId="42CA23A9" w14:textId="77777777" w:rsidR="009B2747" w:rsidRDefault="009B2747" w:rsidP="009B2747">
      <w:pPr>
        <w:pStyle w:val="Listeavsnitt"/>
        <w:numPr>
          <w:ilvl w:val="0"/>
          <w:numId w:val="1"/>
        </w:numPr>
      </w:pPr>
      <w:r>
        <w:t xml:space="preserve">KOG-referat er relevant for retten i forbindelse med behandling av bruddsaker. </w:t>
      </w:r>
    </w:p>
    <w:p w14:paraId="5FC6D818" w14:textId="4825C450" w:rsidR="009B2747" w:rsidRDefault="009B2747" w:rsidP="009B2747">
      <w:pPr>
        <w:pStyle w:val="Listeavsnitt"/>
        <w:numPr>
          <w:ilvl w:val="0"/>
          <w:numId w:val="1"/>
        </w:numPr>
        <w:spacing w:after="0"/>
      </w:pPr>
      <w:r>
        <w:t xml:space="preserve">KOG-referat </w:t>
      </w:r>
      <w:r w:rsidR="009E0D89">
        <w:t xml:space="preserve">og evt. skisse til ungdomsplan, </w:t>
      </w:r>
      <w:r>
        <w:t xml:space="preserve">og informasjon fra ungdomsenheten legges frem for retten, og behandles på tilsvarende måte som ved gjennomgang av PUM, ved at det gjennomgås for lukkede dører </w:t>
      </w:r>
      <w:r w:rsidR="00BA6B7C">
        <w:t xml:space="preserve">og uten at medtiltalte er til stede </w:t>
      </w:r>
      <w:r>
        <w:t>mv.</w:t>
      </w:r>
      <w:r w:rsidR="00B93970">
        <w:rPr>
          <w:rStyle w:val="Fotnotereferanse"/>
        </w:rPr>
        <w:footnoteReference w:id="10"/>
      </w:r>
      <w:r w:rsidR="00D04F1C">
        <w:t xml:space="preserve"> </w:t>
      </w:r>
    </w:p>
    <w:p w14:paraId="6A5CF86B" w14:textId="77777777" w:rsidR="00BD79C7" w:rsidRDefault="00637867" w:rsidP="009B2747">
      <w:pPr>
        <w:pStyle w:val="Listeavsnitt"/>
        <w:numPr>
          <w:ilvl w:val="0"/>
          <w:numId w:val="1"/>
        </w:numPr>
        <w:spacing w:after="0"/>
      </w:pPr>
      <w:r>
        <w:t xml:space="preserve">Generelle informasjonsskriv </w:t>
      </w:r>
      <w:r w:rsidR="00BD79C7">
        <w:t xml:space="preserve">om samfunnsstraff for ungdom, ungdomsstraff og ungdomstilbud i fengsler </w:t>
      </w:r>
      <w:r w:rsidR="00DB10E2">
        <w:t>legges ikke inn på saken, men er tilgjengelig på intranettet i Oslo tingrett.</w:t>
      </w:r>
      <w:r w:rsidR="00A24E13">
        <w:rPr>
          <w:rStyle w:val="Fotnotereferanse"/>
        </w:rPr>
        <w:footnoteReference w:id="11"/>
      </w:r>
      <w:r w:rsidR="00DB10E2">
        <w:t xml:space="preserve"> </w:t>
      </w:r>
      <w:r w:rsidR="00FD7960">
        <w:t>Disse er utarbeidet i 2024 som følge av samarbeidet mellom aktørene for hurtigere straffesaksbehandling i Oslo.</w:t>
      </w:r>
    </w:p>
    <w:p w14:paraId="0BB309B3" w14:textId="77777777" w:rsidR="009B2747" w:rsidRDefault="009B2747" w:rsidP="009B2747">
      <w:pPr>
        <w:spacing w:after="0"/>
      </w:pPr>
    </w:p>
    <w:p w14:paraId="6E87CFEC" w14:textId="77777777" w:rsidR="009B2747" w:rsidRPr="000778D3" w:rsidRDefault="000778D3" w:rsidP="009B2747">
      <w:pPr>
        <w:spacing w:after="0"/>
        <w:rPr>
          <w:b/>
          <w:bCs/>
        </w:rPr>
      </w:pPr>
      <w:r w:rsidRPr="000778D3">
        <w:rPr>
          <w:b/>
          <w:bCs/>
        </w:rPr>
        <w:t>4.</w:t>
      </w:r>
      <w:r w:rsidRPr="000778D3">
        <w:rPr>
          <w:b/>
          <w:bCs/>
        </w:rPr>
        <w:tab/>
      </w:r>
      <w:r w:rsidR="009B2747" w:rsidRPr="000778D3">
        <w:rPr>
          <w:b/>
          <w:bCs/>
        </w:rPr>
        <w:t>Innmelding til KOG</w:t>
      </w:r>
    </w:p>
    <w:p w14:paraId="6B407DE7" w14:textId="77777777" w:rsidR="002D4435" w:rsidRDefault="002D4435" w:rsidP="009B2747">
      <w:pPr>
        <w:pStyle w:val="Listeavsnitt"/>
        <w:numPr>
          <w:ilvl w:val="0"/>
          <w:numId w:val="1"/>
        </w:numPr>
        <w:spacing w:after="0"/>
      </w:pPr>
      <w:r>
        <w:t>Påtalemyndigheten avgjør om det er behov for å drøfte saken i koordineringsgruppen.</w:t>
      </w:r>
      <w:r>
        <w:rPr>
          <w:rStyle w:val="Fotnotereferanse"/>
        </w:rPr>
        <w:footnoteReference w:id="12"/>
      </w:r>
    </w:p>
    <w:p w14:paraId="6DEA3943" w14:textId="004605B9" w:rsidR="002C0DEB" w:rsidRDefault="009B2747" w:rsidP="00C762A3">
      <w:pPr>
        <w:pStyle w:val="Listeavsnitt"/>
        <w:numPr>
          <w:ilvl w:val="0"/>
          <w:numId w:val="1"/>
        </w:numPr>
        <w:spacing w:after="0"/>
      </w:pPr>
      <w:r>
        <w:t>Påtalemyndigheten melder inn alle saker der det foreligger samtykke fra ungdommen og verge, og der det enten på grunn av sakens alvor eller gjentatte forhold, kan være aktuelt med ungdomsoppfølging eller ungdomsstraff.</w:t>
      </w:r>
      <w:r w:rsidR="002E4402">
        <w:rPr>
          <w:rStyle w:val="Fotnotereferanse"/>
        </w:rPr>
        <w:footnoteReference w:id="13"/>
      </w:r>
      <w:r>
        <w:t xml:space="preserve"> </w:t>
      </w:r>
    </w:p>
    <w:p w14:paraId="639E0F61" w14:textId="143DED34" w:rsidR="00D91741" w:rsidRDefault="00D91741" w:rsidP="00C762A3">
      <w:pPr>
        <w:pStyle w:val="Listeavsnitt"/>
        <w:numPr>
          <w:ilvl w:val="0"/>
          <w:numId w:val="1"/>
        </w:numPr>
        <w:spacing w:after="0"/>
      </w:pPr>
      <w:r>
        <w:t xml:space="preserve">Påtalemyndigheten skal avklare om ungdommen og verge samtykker til KOG og avvente drøftelsen der, før det vurderes om det skal innhentes PUM. </w:t>
      </w:r>
    </w:p>
    <w:p w14:paraId="488EBE0A" w14:textId="0EB3F362" w:rsidR="008E1E68" w:rsidRDefault="008E1E68" w:rsidP="00C762A3">
      <w:pPr>
        <w:pStyle w:val="Listeavsnitt"/>
        <w:numPr>
          <w:ilvl w:val="0"/>
          <w:numId w:val="1"/>
        </w:numPr>
        <w:spacing w:after="0"/>
      </w:pPr>
      <w:r>
        <w:t xml:space="preserve">Ungdomskoordinator kan også melde inn saker for drøftelse av om en sak bør avbrytes. </w:t>
      </w:r>
    </w:p>
    <w:p w14:paraId="1E583D02" w14:textId="4F5FC97B" w:rsidR="009B2747" w:rsidRDefault="009B2747" w:rsidP="009B2747">
      <w:pPr>
        <w:spacing w:after="0"/>
      </w:pPr>
    </w:p>
    <w:p w14:paraId="3A292887" w14:textId="77777777" w:rsidR="009B2747" w:rsidRPr="000778D3" w:rsidRDefault="000778D3" w:rsidP="009B2747">
      <w:pPr>
        <w:spacing w:after="0"/>
        <w:rPr>
          <w:b/>
          <w:bCs/>
        </w:rPr>
      </w:pPr>
      <w:r w:rsidRPr="000778D3">
        <w:rPr>
          <w:b/>
          <w:bCs/>
        </w:rPr>
        <w:t>5.</w:t>
      </w:r>
      <w:r w:rsidRPr="000778D3">
        <w:rPr>
          <w:b/>
          <w:bCs/>
        </w:rPr>
        <w:tab/>
      </w:r>
      <w:r w:rsidR="009B2747" w:rsidRPr="000778D3">
        <w:rPr>
          <w:b/>
          <w:bCs/>
        </w:rPr>
        <w:t>Konkrete drøftelser/avklaringer i KOG</w:t>
      </w:r>
    </w:p>
    <w:p w14:paraId="1978EFFD" w14:textId="3FD33AF7" w:rsidR="009B2747" w:rsidRDefault="00D75A95" w:rsidP="009B2747">
      <w:pPr>
        <w:pStyle w:val="Listeavsnitt"/>
        <w:numPr>
          <w:ilvl w:val="0"/>
          <w:numId w:val="1"/>
        </w:numPr>
      </w:pPr>
      <w:r>
        <w:t xml:space="preserve">Hovedtemaet er om ungdommen er egnet for ungdomsoppfølging eller ungdomsstraff, og i så fall hvilke tiltak som er aktuelle i en ungdomsplan. </w:t>
      </w:r>
      <w:r w:rsidR="00767D29">
        <w:t>KOG kan også vurdere aktuelle særvilkår</w:t>
      </w:r>
      <w:r w:rsidR="00767D29">
        <w:rPr>
          <w:rStyle w:val="Fotnotereferanse"/>
        </w:rPr>
        <w:footnoteReference w:id="14"/>
      </w:r>
      <w:r w:rsidR="00767D29">
        <w:t xml:space="preserve">, </w:t>
      </w:r>
      <w:r>
        <w:lastRenderedPageBreak/>
        <w:t xml:space="preserve">om det er behov for PUM, og i så fall hva PUM-en skal belyse. Drøftelsene skal nedfelles i referatet. </w:t>
      </w:r>
    </w:p>
    <w:p w14:paraId="4F9B8CEF" w14:textId="77777777" w:rsidR="009B2747" w:rsidRDefault="009B2747" w:rsidP="00983A2A">
      <w:pPr>
        <w:pStyle w:val="Listeavsnitt"/>
        <w:numPr>
          <w:ilvl w:val="0"/>
          <w:numId w:val="1"/>
        </w:numPr>
        <w:spacing w:after="0"/>
      </w:pPr>
      <w:r>
        <w:t>Fokus i drøftelsene skal være sakens opplysning. Det gis en oversikt over hva som allerede foreligger av utredninger i barnevernet, referat fra tverrfaglig team hos ungdomsenhetene, rettspsykiatrisk vurdering mv. Det bør drøftes om saken kan opplyses tilstrekkelig ved ordinær vitneførsel og dokumentasjonen som allerede foreligger, i stedet for at det innhentes PUM.</w:t>
      </w:r>
      <w:r w:rsidR="003B7E87">
        <w:rPr>
          <w:rStyle w:val="Fotnotereferanse"/>
        </w:rPr>
        <w:footnoteReference w:id="15"/>
      </w:r>
      <w:r>
        <w:t xml:space="preserve"> </w:t>
      </w:r>
    </w:p>
    <w:p w14:paraId="1D7A865E" w14:textId="77777777" w:rsidR="006A41E0" w:rsidRDefault="006A41E0" w:rsidP="00983A2A">
      <w:pPr>
        <w:pStyle w:val="Listeavsnitt"/>
        <w:numPr>
          <w:ilvl w:val="0"/>
          <w:numId w:val="1"/>
        </w:numPr>
        <w:spacing w:after="0"/>
      </w:pPr>
      <w:r>
        <w:t xml:space="preserve">Dersom ungdommen og verge ikke har samtykket til drøftelse i KOG, kan forsvarer melde fra til påtalemyndigheten dersom dette senere endrer seg under saksforberedelsen. Ungdommen kan i så fall meldes inn til drøftelse i KOG. Et referat fra KOG i forkant av hovedforhandling vil kunne ivareta forsvarers behov for kontradiksjon om straffereaksjoner og aktuelle særvilkår. </w:t>
      </w:r>
    </w:p>
    <w:p w14:paraId="008179F3" w14:textId="77777777" w:rsidR="006A41E0" w:rsidRDefault="006A41E0" w:rsidP="006A41E0">
      <w:pPr>
        <w:pStyle w:val="Listeavsnitt"/>
        <w:spacing w:after="0"/>
      </w:pPr>
    </w:p>
    <w:p w14:paraId="023022CB" w14:textId="77777777" w:rsidR="009B2747" w:rsidRPr="00C54641" w:rsidRDefault="00C54641" w:rsidP="00983A2A">
      <w:pPr>
        <w:spacing w:after="0"/>
        <w:rPr>
          <w:b/>
          <w:bCs/>
        </w:rPr>
      </w:pPr>
      <w:r w:rsidRPr="00C54641">
        <w:rPr>
          <w:b/>
          <w:bCs/>
        </w:rPr>
        <w:t>6.</w:t>
      </w:r>
      <w:r w:rsidRPr="00C54641">
        <w:rPr>
          <w:b/>
          <w:bCs/>
        </w:rPr>
        <w:tab/>
      </w:r>
      <w:r w:rsidR="009B2747" w:rsidRPr="00C54641">
        <w:rPr>
          <w:b/>
          <w:bCs/>
        </w:rPr>
        <w:t>Anmodning om PUM</w:t>
      </w:r>
    </w:p>
    <w:p w14:paraId="0BB36C1D" w14:textId="77777777" w:rsidR="00C54641" w:rsidRDefault="00C54641" w:rsidP="009B2747">
      <w:pPr>
        <w:pStyle w:val="Listeavsnitt"/>
        <w:numPr>
          <w:ilvl w:val="0"/>
          <w:numId w:val="1"/>
        </w:numPr>
        <w:spacing w:after="0"/>
      </w:pPr>
      <w:r>
        <w:t xml:space="preserve">PUM er lovregulert i </w:t>
      </w:r>
      <w:r w:rsidR="00EF4E59">
        <w:t>straffeprosessloven § 161 a.</w:t>
      </w:r>
      <w:r w:rsidR="00EF4E59">
        <w:rPr>
          <w:rStyle w:val="Fotnotereferanse"/>
        </w:rPr>
        <w:footnoteReference w:id="16"/>
      </w:r>
    </w:p>
    <w:p w14:paraId="7D475382" w14:textId="6F4FC2CD" w:rsidR="009B2747" w:rsidRDefault="009B2747" w:rsidP="009B2747">
      <w:pPr>
        <w:pStyle w:val="Listeavsnitt"/>
        <w:numPr>
          <w:ilvl w:val="0"/>
          <w:numId w:val="1"/>
        </w:numPr>
        <w:spacing w:after="0"/>
      </w:pPr>
      <w:r>
        <w:t xml:space="preserve">Utgangspunktet er at det bør innhentes PUM i saker som ender med tiltale, og der sakens alvor tilsier at det er aktuelt med ubetinget fengsel, </w:t>
      </w:r>
      <w:r w:rsidR="00E57E44">
        <w:t xml:space="preserve">betinget </w:t>
      </w:r>
      <w:r w:rsidR="006212D0">
        <w:t>fengsel med</w:t>
      </w:r>
      <w:r w:rsidR="00E57E44">
        <w:t xml:space="preserve"> særvilkår, </w:t>
      </w:r>
      <w:r>
        <w:t xml:space="preserve">ungdomsstraff eller samfunnsstraff for ungdom. </w:t>
      </w:r>
    </w:p>
    <w:p w14:paraId="26CC7C57" w14:textId="2F0AEA1D" w:rsidR="00D91741" w:rsidRDefault="00D91741" w:rsidP="009B2747">
      <w:pPr>
        <w:pStyle w:val="Listeavsnitt"/>
        <w:numPr>
          <w:ilvl w:val="0"/>
          <w:numId w:val="1"/>
        </w:numPr>
        <w:spacing w:after="0"/>
      </w:pPr>
      <w:r>
        <w:t xml:space="preserve">Påtalemyndigheten skal ikke anmode om PUM før det er avklart om ungdommen og verge samtykker til KOG. </w:t>
      </w:r>
    </w:p>
    <w:p w14:paraId="2C4D6152" w14:textId="2EAF15E4" w:rsidR="008766EC" w:rsidRDefault="008766EC" w:rsidP="009B2747">
      <w:pPr>
        <w:pStyle w:val="Listeavsnitt"/>
        <w:numPr>
          <w:ilvl w:val="0"/>
          <w:numId w:val="1"/>
        </w:numPr>
      </w:pPr>
      <w:r>
        <w:t xml:space="preserve">Politiet skal informere ungdommen og vergen </w:t>
      </w:r>
      <w:r w:rsidR="009779C3">
        <w:t>dersom</w:t>
      </w:r>
      <w:r>
        <w:t xml:space="preserve"> det er aktuelt å innhente PUM, og samtidig informere om formålet med dette og personundersøkers rolle. Forsvarer kan bistå i forbindelse med dette informasjonsarbeidet, og bistå ved innhenting av samtykker. </w:t>
      </w:r>
    </w:p>
    <w:p w14:paraId="4B52CC22" w14:textId="056470E2" w:rsidR="006212D0" w:rsidRDefault="006212D0" w:rsidP="009B2747">
      <w:pPr>
        <w:pStyle w:val="Listeavsnitt"/>
        <w:numPr>
          <w:ilvl w:val="0"/>
          <w:numId w:val="1"/>
        </w:numPr>
      </w:pPr>
      <w:r>
        <w:t xml:space="preserve">Dersom siktede og verge ikke samtykker til PUM, skal det som utgangspunkt ikke sendes anmodning om PUM. </w:t>
      </w:r>
    </w:p>
    <w:p w14:paraId="37F9B046" w14:textId="77777777" w:rsidR="009B2747" w:rsidRDefault="009B2747" w:rsidP="009B2747">
      <w:pPr>
        <w:pStyle w:val="Listeavsnitt"/>
        <w:numPr>
          <w:ilvl w:val="0"/>
          <w:numId w:val="1"/>
        </w:numPr>
        <w:spacing w:after="0"/>
      </w:pPr>
      <w:r>
        <w:t>PUM kan unnlates i saker der det på grunn av sakens alvor ikke er aktuelt med andre straffereaksjoner enn bot eller betinget fengsel.</w:t>
      </w:r>
      <w:r w:rsidR="00C7110D">
        <w:rPr>
          <w:rStyle w:val="Fotnotereferanse"/>
        </w:rPr>
        <w:footnoteReference w:id="17"/>
      </w:r>
      <w:r>
        <w:t xml:space="preserve"> </w:t>
      </w:r>
    </w:p>
    <w:p w14:paraId="00EC4759" w14:textId="77777777" w:rsidR="009B2747" w:rsidRDefault="009B2747" w:rsidP="009B2747">
      <w:pPr>
        <w:pStyle w:val="Listeavsnitt"/>
        <w:numPr>
          <w:ilvl w:val="0"/>
          <w:numId w:val="1"/>
        </w:numPr>
      </w:pPr>
      <w:r>
        <w:t xml:space="preserve">PUM kan unnlates i saker der spørsmål knyttet til straffutmåling og straffegjennomføring er tilstrekkelig belyst på andre måter, for eksempel ved KOG-referat, andre utredninger, eller vitneførsel. </w:t>
      </w:r>
      <w:r w:rsidR="00E54EB3">
        <w:rPr>
          <w:rStyle w:val="Fotnotereferanse"/>
        </w:rPr>
        <w:footnoteReference w:id="18"/>
      </w:r>
      <w:r w:rsidR="0087570F">
        <w:t xml:space="preserve"> </w:t>
      </w:r>
    </w:p>
    <w:p w14:paraId="0379D39D" w14:textId="77777777" w:rsidR="009B2747" w:rsidRDefault="009B2747" w:rsidP="009B2747">
      <w:pPr>
        <w:pStyle w:val="Listeavsnitt"/>
        <w:numPr>
          <w:ilvl w:val="0"/>
          <w:numId w:val="1"/>
        </w:numPr>
        <w:spacing w:after="0"/>
      </w:pPr>
      <w:r>
        <w:t xml:space="preserve">Dersom KOG har konkludert med at ungdommen er egnet for ungdomsoppfølging eller ungdomsstraff, er det mindre behov for å innhente PUM. Alternativt kan anmodningen om PUM i slike tilfeller spisses til å gjelde for eksempel samfunnsstraff, særvilkår eller ubetinget fengsel. </w:t>
      </w:r>
      <w:r w:rsidR="00BF146F">
        <w:rPr>
          <w:rStyle w:val="Fotnotereferanse"/>
        </w:rPr>
        <w:footnoteReference w:id="19"/>
      </w:r>
    </w:p>
    <w:p w14:paraId="05D881BD" w14:textId="77777777" w:rsidR="00DA5952" w:rsidRPr="00DA5952" w:rsidRDefault="00DA5952" w:rsidP="00DA5952">
      <w:pPr>
        <w:pStyle w:val="Listeavsnitt"/>
        <w:numPr>
          <w:ilvl w:val="0"/>
          <w:numId w:val="1"/>
        </w:numPr>
        <w:spacing w:after="0" w:line="276" w:lineRule="auto"/>
        <w:rPr>
          <w:rFonts w:eastAsia="Times New Roman" w:cstheme="minorHAnsi"/>
          <w:kern w:val="0"/>
          <w:lang w:eastAsia="nb-NO"/>
          <w14:ligatures w14:val="none"/>
        </w:rPr>
      </w:pPr>
      <w:r w:rsidRPr="00DA5952">
        <w:rPr>
          <w:rFonts w:eastAsia="Times New Roman" w:cstheme="minorHAnsi"/>
          <w:kern w:val="0"/>
          <w:lang w:eastAsia="nb-NO"/>
          <w14:ligatures w14:val="none"/>
        </w:rPr>
        <w:t xml:space="preserve">Dersom saken er tilstrekkelig opplyst på andre måter, vil det spare både tid og ressurser at PUM ikke innhentes, både i den enkelte sak, men også for å sikre best mulig ressursutnyttelse og hurtighet for andre ungdommer involvert i straffesaker i Oslo. Det er som regel ikke nødvendig med PUM for å vurdere ubetinget fengsel. Dersom det ikke er aktuelt med ubetinget fengsel, står som regel valget mellom ungdomsstraff og samfunnsstraff. Dersom KOG har kommet til at ungdomsstraff ikke er en egnet reaksjon, kan samfunnsstraff forsøkes uten videre utredning av dette i en PUM. Kriminalomsorgen har ikke behov for en PUM for å komme raskt i gang, eller for å kunne tilpasse innholdet i samfunnsstraffen individuelt. Det viktigste er at det kommer en rask reaksjon, og at </w:t>
      </w:r>
      <w:r w:rsidRPr="00DA5952">
        <w:rPr>
          <w:rFonts w:eastAsia="Times New Roman" w:cstheme="minorHAnsi"/>
          <w:kern w:val="0"/>
          <w:lang w:eastAsia="nb-NO"/>
          <w14:ligatures w14:val="none"/>
        </w:rPr>
        <w:lastRenderedPageBreak/>
        <w:t xml:space="preserve">gjennomføringstiden er lang nok til at samfunnsstraffen kan kombineres med skole og gir mulighet for et reelt endringsarbeid. </w:t>
      </w:r>
    </w:p>
    <w:p w14:paraId="73B7DCF0" w14:textId="77777777" w:rsidR="009B2747" w:rsidRDefault="009B2747" w:rsidP="009B2747">
      <w:pPr>
        <w:pStyle w:val="Listeavsnitt"/>
        <w:numPr>
          <w:ilvl w:val="0"/>
          <w:numId w:val="1"/>
        </w:numPr>
        <w:spacing w:after="0"/>
      </w:pPr>
      <w:r>
        <w:t xml:space="preserve">Dersom det skal gjennomføres rettspsykiatrisk undersøkelse, kan påtalemyndigheten vente med å innhente PUM. I slike tilfeller vil det som regel ikke være nødvendig med en PUM. </w:t>
      </w:r>
    </w:p>
    <w:p w14:paraId="6FA3E3A5" w14:textId="5C3B0A34" w:rsidR="0087570F" w:rsidRDefault="00B24B67" w:rsidP="009B2747">
      <w:pPr>
        <w:pStyle w:val="Listeavsnitt"/>
        <w:numPr>
          <w:ilvl w:val="0"/>
          <w:numId w:val="1"/>
        </w:numPr>
        <w:spacing w:after="0"/>
      </w:pPr>
      <w:r>
        <w:t xml:space="preserve">Malen for anmodning om PUM skal benyttes. </w:t>
      </w:r>
    </w:p>
    <w:p w14:paraId="7D6126A6" w14:textId="77777777" w:rsidR="006A41E0" w:rsidRDefault="006A41E0" w:rsidP="006A41E0">
      <w:pPr>
        <w:pStyle w:val="Listeavsnitt"/>
        <w:numPr>
          <w:ilvl w:val="0"/>
          <w:numId w:val="1"/>
        </w:numPr>
        <w:spacing w:after="0"/>
      </w:pPr>
      <w:r>
        <w:t xml:space="preserve">Anmodning om PUM skal inneholde straffeattest, en oversikt over status for gjennomføring av andre straffereaksjoner og referat fra KOG. Dersom saken ikke har vært drøftet i KOG, skal det opplyses om dette, og om dette skyldes manglende samtykke. </w:t>
      </w:r>
    </w:p>
    <w:p w14:paraId="1314BC4C" w14:textId="77777777" w:rsidR="009B2747" w:rsidRDefault="009B2747" w:rsidP="009B2747">
      <w:pPr>
        <w:pStyle w:val="Listeavsnitt"/>
        <w:numPr>
          <w:ilvl w:val="0"/>
          <w:numId w:val="1"/>
        </w:numPr>
        <w:spacing w:after="0"/>
      </w:pPr>
      <w:r>
        <w:t xml:space="preserve">Kopi av </w:t>
      </w:r>
      <w:r w:rsidR="006A41E0">
        <w:t>anmodning</w:t>
      </w:r>
      <w:r>
        <w:t xml:space="preserve"> om PUM sendes til forsvarer. </w:t>
      </w:r>
    </w:p>
    <w:p w14:paraId="1D886B2E" w14:textId="1BFB19CF" w:rsidR="009B2747" w:rsidRDefault="009B2747" w:rsidP="009B2747">
      <w:pPr>
        <w:pStyle w:val="Listeavsnitt"/>
        <w:numPr>
          <w:ilvl w:val="0"/>
          <w:numId w:val="1"/>
        </w:numPr>
        <w:spacing w:after="0"/>
      </w:pPr>
      <w:r>
        <w:t>Dersom påtalemyndigheten spisser anmodning</w:t>
      </w:r>
      <w:r w:rsidR="00D408F8">
        <w:t>en</w:t>
      </w:r>
      <w:r>
        <w:t xml:space="preserve"> om PUM</w:t>
      </w:r>
      <w:r w:rsidR="009779C3">
        <w:t xml:space="preserve"> til at den bare skal belyse særskilte tema</w:t>
      </w:r>
      <w:r>
        <w:t xml:space="preserve">, fremgår dette av anmodningen, og denne beslutningen skal ikke forelegges for retten. Påtalemyndigheten har dialog med forsvarer om dette.  </w:t>
      </w:r>
    </w:p>
    <w:p w14:paraId="158486B3" w14:textId="77777777" w:rsidR="009B2747" w:rsidRDefault="009B2747" w:rsidP="009B2747">
      <w:pPr>
        <w:spacing w:after="0"/>
      </w:pPr>
    </w:p>
    <w:p w14:paraId="18304357" w14:textId="77777777" w:rsidR="009B2747" w:rsidRPr="00941EB4" w:rsidRDefault="00941EB4" w:rsidP="009B2747">
      <w:pPr>
        <w:spacing w:after="0"/>
        <w:rPr>
          <w:b/>
          <w:bCs/>
        </w:rPr>
      </w:pPr>
      <w:r w:rsidRPr="00941EB4">
        <w:rPr>
          <w:b/>
          <w:bCs/>
        </w:rPr>
        <w:t>7.</w:t>
      </w:r>
      <w:r w:rsidRPr="00941EB4">
        <w:rPr>
          <w:b/>
          <w:bCs/>
        </w:rPr>
        <w:tab/>
      </w:r>
      <w:r w:rsidR="009B2747" w:rsidRPr="00941EB4">
        <w:rPr>
          <w:b/>
          <w:bCs/>
        </w:rPr>
        <w:t>Beslutning om å unnlate PUM</w:t>
      </w:r>
    </w:p>
    <w:p w14:paraId="0E9430EF" w14:textId="77777777" w:rsidR="0087570F" w:rsidRDefault="0087570F" w:rsidP="007E4986">
      <w:pPr>
        <w:pStyle w:val="Listeavsnitt"/>
        <w:numPr>
          <w:ilvl w:val="0"/>
          <w:numId w:val="1"/>
        </w:numPr>
        <w:spacing w:after="0"/>
      </w:pPr>
      <w:r>
        <w:t xml:space="preserve">Dersom siktede og verge ikke samtykker til PUM, skal det som utgangspunkt ikke sendes anmodning om PUM. </w:t>
      </w:r>
    </w:p>
    <w:p w14:paraId="6625E982" w14:textId="77777777" w:rsidR="009B2747" w:rsidRDefault="007E4986" w:rsidP="007E4986">
      <w:pPr>
        <w:pStyle w:val="Listeavsnitt"/>
        <w:numPr>
          <w:ilvl w:val="0"/>
          <w:numId w:val="1"/>
        </w:numPr>
        <w:spacing w:after="0"/>
      </w:pPr>
      <w:r>
        <w:t>Dersom påtalemyndigheten av andre grunner mener at det ikke er grunnlag for å innhente PUM, bør beslutningen om dette begrunnes,</w:t>
      </w:r>
      <w:r w:rsidR="009B2747">
        <w:t xml:space="preserve"> slik at det er notoritet om beslutningen. Forsvarer varsles om beslutningen med frist for innsigelser. </w:t>
      </w:r>
    </w:p>
    <w:p w14:paraId="577C1244" w14:textId="77777777" w:rsidR="009B2747" w:rsidRDefault="009B2747" w:rsidP="009B2747">
      <w:pPr>
        <w:pStyle w:val="Listeavsnitt"/>
        <w:numPr>
          <w:ilvl w:val="0"/>
          <w:numId w:val="1"/>
        </w:numPr>
        <w:spacing w:after="0"/>
      </w:pPr>
      <w:r>
        <w:t xml:space="preserve">Dersom </w:t>
      </w:r>
      <w:r w:rsidR="007E4986">
        <w:t xml:space="preserve">aktor og forsvarer </w:t>
      </w:r>
      <w:r>
        <w:t>er uenige om PUM skal unnlates, skal påtalemyndigheten forelegge spørsmålet for retten ved begjæring.</w:t>
      </w:r>
      <w:r w:rsidR="000C1481">
        <w:rPr>
          <w:rStyle w:val="Fotnotereferanse"/>
        </w:rPr>
        <w:footnoteReference w:id="20"/>
      </w:r>
      <w:r>
        <w:t xml:space="preserve"> </w:t>
      </w:r>
    </w:p>
    <w:p w14:paraId="4DD5A613" w14:textId="3A39F259" w:rsidR="009B2747" w:rsidRDefault="00BA62C7" w:rsidP="009B2747">
      <w:pPr>
        <w:pStyle w:val="Listeavsnitt"/>
        <w:numPr>
          <w:ilvl w:val="0"/>
          <w:numId w:val="1"/>
        </w:numPr>
        <w:spacing w:after="0"/>
      </w:pPr>
      <w:r>
        <w:t xml:space="preserve">En begrunnet begjæring </w:t>
      </w:r>
      <w:r w:rsidR="009B2747">
        <w:t xml:space="preserve">sendes i Justishub, sammen med KOG-referat og </w:t>
      </w:r>
      <w:r w:rsidR="008E1E68">
        <w:t>e</w:t>
      </w:r>
      <w:r>
        <w:t>ventuelle andre relevante dokumenter.</w:t>
      </w:r>
    </w:p>
    <w:p w14:paraId="18510BE9" w14:textId="77777777" w:rsidR="009B2747" w:rsidRDefault="009B2747" w:rsidP="009B2747">
      <w:pPr>
        <w:pStyle w:val="Listeavsnitt"/>
        <w:numPr>
          <w:ilvl w:val="0"/>
          <w:numId w:val="1"/>
        </w:numPr>
        <w:spacing w:after="0"/>
      </w:pPr>
      <w:r>
        <w:t xml:space="preserve">Påtalemyndigheten sender kopi av begjæringen til forsvarer med frist for tilbakemelding til retten på om det er innvendinger til at PUM unnlates. </w:t>
      </w:r>
    </w:p>
    <w:p w14:paraId="7842976C" w14:textId="77777777" w:rsidR="009B2747" w:rsidRDefault="009B2747" w:rsidP="009B2747">
      <w:pPr>
        <w:pStyle w:val="Listeavsnitt"/>
        <w:numPr>
          <w:ilvl w:val="0"/>
          <w:numId w:val="1"/>
        </w:numPr>
        <w:spacing w:after="0"/>
      </w:pPr>
      <w:r>
        <w:t xml:space="preserve">Dersom forsvarer ikke har kommet med bemerkninger innen fristen, legger retten til grunn at det ikke </w:t>
      </w:r>
      <w:r w:rsidR="006763EB">
        <w:t xml:space="preserve">lenger </w:t>
      </w:r>
      <w:r>
        <w:t>er innvendinger</w:t>
      </w:r>
      <w:r w:rsidR="006763EB">
        <w:t xml:space="preserve"> fra forsvarer</w:t>
      </w:r>
      <w:r>
        <w:t>.</w:t>
      </w:r>
    </w:p>
    <w:p w14:paraId="2DB809C4" w14:textId="667C106F" w:rsidR="006763EB" w:rsidRDefault="006763EB" w:rsidP="006763EB">
      <w:pPr>
        <w:pStyle w:val="Listeavsnitt"/>
        <w:numPr>
          <w:ilvl w:val="0"/>
          <w:numId w:val="1"/>
        </w:numPr>
        <w:spacing w:after="0"/>
      </w:pPr>
      <w:r>
        <w:t xml:space="preserve">Påtalemyndigheten sender et ekstra varsel via e-post om begjæringen til </w:t>
      </w:r>
      <w:r w:rsidR="009E0D89">
        <w:t>Oslo.tingrett.U18@domstol.no</w:t>
      </w:r>
      <w:r>
        <w:t xml:space="preserve"> for å sikre saken fanges raskt opp i Oslo tingrett. </w:t>
      </w:r>
    </w:p>
    <w:p w14:paraId="085B5DAD" w14:textId="77777777" w:rsidR="00C64AD9" w:rsidRDefault="00C64AD9" w:rsidP="00C64AD9">
      <w:pPr>
        <w:pStyle w:val="Listeavsnitt"/>
        <w:numPr>
          <w:ilvl w:val="0"/>
          <w:numId w:val="1"/>
        </w:numPr>
        <w:spacing w:after="0"/>
      </w:pPr>
      <w:r>
        <w:t xml:space="preserve">Påtalemyndigheten må sende begjæring om unnlatelse av PUM senest samtidig som begjæring om berammelse av hovedforhandling (forhåndsberammelse eller ordinær berammelse) til retten. </w:t>
      </w:r>
    </w:p>
    <w:p w14:paraId="3425758A" w14:textId="77777777" w:rsidR="00983A2A" w:rsidRDefault="00983A2A" w:rsidP="00983A2A">
      <w:pPr>
        <w:pStyle w:val="Listeavsnitt"/>
        <w:spacing w:after="0"/>
      </w:pPr>
    </w:p>
    <w:p w14:paraId="1C1AF1BF" w14:textId="77777777" w:rsidR="009B2747" w:rsidRPr="006E33B1" w:rsidRDefault="006E33B1" w:rsidP="009B2747">
      <w:pPr>
        <w:spacing w:after="0"/>
        <w:rPr>
          <w:b/>
          <w:bCs/>
        </w:rPr>
      </w:pPr>
      <w:r w:rsidRPr="006E33B1">
        <w:rPr>
          <w:b/>
          <w:bCs/>
        </w:rPr>
        <w:t>8.</w:t>
      </w:r>
      <w:r w:rsidRPr="006E33B1">
        <w:rPr>
          <w:b/>
          <w:bCs/>
        </w:rPr>
        <w:tab/>
      </w:r>
      <w:r w:rsidR="009B2747" w:rsidRPr="006E33B1">
        <w:rPr>
          <w:b/>
          <w:bCs/>
        </w:rPr>
        <w:t>Behandling av særvilkår</w:t>
      </w:r>
    </w:p>
    <w:p w14:paraId="50B8F238" w14:textId="77777777" w:rsidR="009B2747" w:rsidRDefault="009B2747" w:rsidP="009B2747">
      <w:pPr>
        <w:pStyle w:val="Listeavsnitt"/>
        <w:numPr>
          <w:ilvl w:val="0"/>
          <w:numId w:val="1"/>
        </w:numPr>
        <w:spacing w:after="0"/>
      </w:pPr>
      <w:r>
        <w:t>Aktuelle særvilkår kan omfatte meldeplikt, oppholdsforbud, oppholdspåbud, innetider, kontaktforbud, rustesting mv.</w:t>
      </w:r>
    </w:p>
    <w:p w14:paraId="62313345" w14:textId="77777777" w:rsidR="009B2747" w:rsidRDefault="009B2747" w:rsidP="009B2747">
      <w:pPr>
        <w:pStyle w:val="Listeavsnitt"/>
        <w:numPr>
          <w:ilvl w:val="0"/>
          <w:numId w:val="1"/>
        </w:numPr>
        <w:spacing w:after="0"/>
      </w:pPr>
      <w:r>
        <w:t xml:space="preserve">Særvilkår kan ha både individualpreventiv og allmennpreventiv begrunnelse, og være et tiltak for å beskytte allmennheten. </w:t>
      </w:r>
    </w:p>
    <w:p w14:paraId="1488D19C" w14:textId="77777777" w:rsidR="009B2747" w:rsidRDefault="009B2747" w:rsidP="009B2747">
      <w:pPr>
        <w:pStyle w:val="Listeavsnitt"/>
        <w:numPr>
          <w:ilvl w:val="0"/>
          <w:numId w:val="1"/>
        </w:numPr>
        <w:spacing w:after="0"/>
      </w:pPr>
      <w:r>
        <w:t xml:space="preserve">Innholdsmessig er særvilkårene like for ulike straffereaksjoner, men det varierer hvilken instans som beslutter at særvilkår skal være en del av straffegjennomføringen. </w:t>
      </w:r>
    </w:p>
    <w:p w14:paraId="5FDE0498" w14:textId="5838388D" w:rsidR="009B2747" w:rsidRDefault="009B2747" w:rsidP="009B2747">
      <w:pPr>
        <w:pStyle w:val="Listeavsnitt"/>
        <w:numPr>
          <w:ilvl w:val="0"/>
          <w:numId w:val="1"/>
        </w:numPr>
        <w:spacing w:after="0"/>
      </w:pPr>
      <w:r>
        <w:t xml:space="preserve">Vilkår av den art som er beskrevet i straffeloven §§, 37 a), b), </w:t>
      </w:r>
      <w:r w:rsidR="008766EC">
        <w:t xml:space="preserve">og </w:t>
      </w:r>
      <w:r>
        <w:t>d)</w:t>
      </w:r>
      <w:r w:rsidR="008766EC">
        <w:t xml:space="preserve">, </w:t>
      </w:r>
      <w:r w:rsidR="003C64B8">
        <w:t xml:space="preserve">og </w:t>
      </w:r>
      <w:r w:rsidR="008766EC">
        <w:t xml:space="preserve">50 </w:t>
      </w:r>
      <w:r>
        <w:t>skal vurderes og drøftes i KOG.</w:t>
      </w:r>
    </w:p>
    <w:p w14:paraId="63631A87" w14:textId="77777777" w:rsidR="009B2747" w:rsidRDefault="009B2747" w:rsidP="009B2747">
      <w:pPr>
        <w:pStyle w:val="Listeavsnitt"/>
        <w:numPr>
          <w:ilvl w:val="0"/>
          <w:numId w:val="1"/>
        </w:numPr>
        <w:spacing w:after="0"/>
      </w:pPr>
      <w:r>
        <w:t xml:space="preserve">Dersom saken skal behandles i retten, </w:t>
      </w:r>
      <w:r w:rsidR="00C91673">
        <w:t>må</w:t>
      </w:r>
      <w:r>
        <w:t xml:space="preserve"> det være bevisførsel om behovet og forholdsmessigheten. </w:t>
      </w:r>
    </w:p>
    <w:p w14:paraId="6BFD88AE" w14:textId="77777777" w:rsidR="009B2747" w:rsidRDefault="009B2747" w:rsidP="009B2747">
      <w:pPr>
        <w:pStyle w:val="Listeavsnitt"/>
        <w:numPr>
          <w:ilvl w:val="0"/>
          <w:numId w:val="1"/>
        </w:numPr>
        <w:spacing w:after="0"/>
      </w:pPr>
      <w:r>
        <w:lastRenderedPageBreak/>
        <w:t>Dersom særvilkår ikke er drøftet i KOG, bestemmer påtalemyndigheten om dette skal vurderes i PUM. Anmodning om PUM kan spisses til å gjelde aktuelle særvilkår/tiltak.</w:t>
      </w:r>
      <w:r w:rsidR="004D00E7">
        <w:rPr>
          <w:rStyle w:val="Fotnotereferanse"/>
        </w:rPr>
        <w:footnoteReference w:id="21"/>
      </w:r>
      <w:r>
        <w:t xml:space="preserve"> </w:t>
      </w:r>
    </w:p>
    <w:p w14:paraId="78715AAB" w14:textId="63672116" w:rsidR="009B2747" w:rsidRDefault="009B2747" w:rsidP="009B2747">
      <w:pPr>
        <w:pStyle w:val="Listeavsnitt"/>
        <w:spacing w:after="0"/>
      </w:pPr>
      <w:r>
        <w:t>Forebyggende hos politiet sende</w:t>
      </w:r>
      <w:r w:rsidR="00D6729D">
        <w:t>r</w:t>
      </w:r>
      <w:r>
        <w:t xml:space="preserve"> over nødvendig informasjon om ungdommen og hans miljø, slik at </w:t>
      </w:r>
      <w:r w:rsidR="008E1E68">
        <w:t>k</w:t>
      </w:r>
      <w:r>
        <w:t xml:space="preserve">riminalomsorgen har grunnlag for å vurdere dette. Personundersøker skisserer aktuelle vilkår/tiltak med ungdommen. </w:t>
      </w:r>
    </w:p>
    <w:p w14:paraId="2FB03BD9" w14:textId="77777777" w:rsidR="009B2747" w:rsidRDefault="009B2747" w:rsidP="009B2747">
      <w:pPr>
        <w:pStyle w:val="Listeavsnitt"/>
        <w:numPr>
          <w:ilvl w:val="0"/>
          <w:numId w:val="1"/>
        </w:numPr>
        <w:spacing w:after="0"/>
      </w:pPr>
      <w:r>
        <w:t xml:space="preserve">Dersom særvilkår ikke er drøftet i KOG eller PUM, må påtalemyndigheten belyse dette gjennom annen bevisførsel. </w:t>
      </w:r>
    </w:p>
    <w:p w14:paraId="16F4B2B3" w14:textId="77777777" w:rsidR="009B2747" w:rsidRDefault="009B2747"/>
    <w:p w14:paraId="44783FB7" w14:textId="77777777" w:rsidR="006A41E0" w:rsidRDefault="006A41E0"/>
    <w:p w14:paraId="54311C48" w14:textId="77777777" w:rsidR="006A41E0" w:rsidRDefault="006A41E0"/>
    <w:bookmarkEnd w:id="0"/>
    <w:p w14:paraId="36418F48" w14:textId="77777777" w:rsidR="006A41E0" w:rsidRPr="009B2747" w:rsidRDefault="006A41E0"/>
    <w:sectPr w:rsidR="006A41E0" w:rsidRPr="009B274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EBB52" w14:textId="77777777" w:rsidR="00CA6F32" w:rsidRDefault="00CA6F32" w:rsidP="00AC0CB5">
      <w:pPr>
        <w:spacing w:after="0" w:line="240" w:lineRule="auto"/>
      </w:pPr>
      <w:r>
        <w:separator/>
      </w:r>
    </w:p>
  </w:endnote>
  <w:endnote w:type="continuationSeparator" w:id="0">
    <w:p w14:paraId="5F21AEDB" w14:textId="77777777" w:rsidR="00CA6F32" w:rsidRDefault="00CA6F32" w:rsidP="00AC0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7E36" w14:textId="137485E1" w:rsidR="003C64B8" w:rsidRDefault="00FB224F">
    <w:pPr>
      <w:pStyle w:val="Bunntekst"/>
    </w:pPr>
    <w:r>
      <w:t>Oslo tingretts veileder</w:t>
    </w:r>
    <w:r w:rsidR="003C64B8">
      <w:t xml:space="preserve">, sist </w:t>
    </w:r>
    <w:r w:rsidR="009779C3">
      <w:t>oppdatert</w:t>
    </w:r>
    <w:r w:rsidR="003C64B8">
      <w:t xml:space="preserve"> </w:t>
    </w:r>
    <w:r w:rsidR="00767D29">
      <w:t>1</w:t>
    </w:r>
    <w:r w:rsidR="00B24B67">
      <w:t>3</w:t>
    </w:r>
    <w:r w:rsidR="0061136A">
      <w:t>. februar</w:t>
    </w:r>
    <w:r w:rsidR="003C64B8">
      <w:t xml:space="preserve"> 2025</w:t>
    </w:r>
  </w:p>
  <w:p w14:paraId="1695F4FD" w14:textId="77777777" w:rsidR="00864193" w:rsidRDefault="0086419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1421C" w14:textId="77777777" w:rsidR="00CA6F32" w:rsidRDefault="00CA6F32" w:rsidP="00AC0CB5">
      <w:pPr>
        <w:spacing w:after="0" w:line="240" w:lineRule="auto"/>
      </w:pPr>
      <w:r>
        <w:separator/>
      </w:r>
    </w:p>
  </w:footnote>
  <w:footnote w:type="continuationSeparator" w:id="0">
    <w:p w14:paraId="632B156B" w14:textId="77777777" w:rsidR="00CA6F32" w:rsidRDefault="00CA6F32" w:rsidP="00AC0CB5">
      <w:pPr>
        <w:spacing w:after="0" w:line="240" w:lineRule="auto"/>
      </w:pPr>
      <w:r>
        <w:continuationSeparator/>
      </w:r>
    </w:p>
  </w:footnote>
  <w:footnote w:id="1">
    <w:p w14:paraId="2C1AC896" w14:textId="77777777" w:rsidR="00BB2E30" w:rsidRDefault="00BB2E30">
      <w:pPr>
        <w:pStyle w:val="Fotnotetekst"/>
      </w:pPr>
      <w:r>
        <w:rPr>
          <w:rStyle w:val="Fotnotereferanse"/>
        </w:rPr>
        <w:footnoteRef/>
      </w:r>
      <w:r>
        <w:t xml:space="preserve"> Se referat fra møte 7. mai 2024 i Oslo tingrett</w:t>
      </w:r>
      <w:r w:rsidR="0099302A">
        <w:t xml:space="preserve">. </w:t>
      </w:r>
    </w:p>
  </w:footnote>
  <w:footnote w:id="2">
    <w:p w14:paraId="1A8DFBBC" w14:textId="77777777" w:rsidR="00A618EF" w:rsidRDefault="00A618EF" w:rsidP="00A618EF">
      <w:pPr>
        <w:pStyle w:val="Fotnotetekst"/>
      </w:pPr>
      <w:r>
        <w:rPr>
          <w:rStyle w:val="Fotnotereferanse"/>
        </w:rPr>
        <w:footnoteRef/>
      </w:r>
      <w:r>
        <w:t xml:space="preserve"> Prop. 139 L (2022-2023) Endringer i konfliktrådsloven, straffeloven og straffeprosessloven mv. (strafferettslige reaksjoner for ungdom og varetekt med elektronisk kontroll) punkt 11 (koordineringsgruppen) og 12 (personundersøkelse for mindreårige). </w:t>
      </w:r>
      <w:r w:rsidR="00394AB4">
        <w:t xml:space="preserve">Lovendringene i konfliktrådsloven § 22 d og straffeprosessloven § 161 a trådte i kraft 1. september 2024. </w:t>
      </w:r>
    </w:p>
  </w:footnote>
  <w:footnote w:id="3">
    <w:p w14:paraId="53FF1B96" w14:textId="77777777" w:rsidR="00E9388B" w:rsidRDefault="00E9388B">
      <w:pPr>
        <w:pStyle w:val="Fotnotetekst"/>
      </w:pPr>
      <w:r>
        <w:rPr>
          <w:rStyle w:val="Fotnotereferanse"/>
        </w:rPr>
        <w:footnoteRef/>
      </w:r>
      <w:r>
        <w:t xml:space="preserve"> </w:t>
      </w:r>
      <w:r w:rsidR="00D02DB5">
        <w:t>Prop. 139 L punkt 11.4.2.1</w:t>
      </w:r>
      <w:r w:rsidR="00925049">
        <w:t xml:space="preserve"> (KOG)</w:t>
      </w:r>
      <w:r w:rsidR="00D02DB5">
        <w:t xml:space="preserve"> og </w:t>
      </w:r>
      <w:r w:rsidR="00925049">
        <w:t>punkt 12.4 (PUM).</w:t>
      </w:r>
    </w:p>
  </w:footnote>
  <w:footnote w:id="4">
    <w:p w14:paraId="7CD21D7C" w14:textId="77777777" w:rsidR="003441DB" w:rsidRDefault="003441DB">
      <w:pPr>
        <w:pStyle w:val="Fotnotetekst"/>
      </w:pPr>
      <w:r>
        <w:rPr>
          <w:rStyle w:val="Fotnotereferanse"/>
        </w:rPr>
        <w:footnoteRef/>
      </w:r>
      <w:r>
        <w:t xml:space="preserve"> Lovendringen trådte i kraft 1. september 2024. </w:t>
      </w:r>
    </w:p>
  </w:footnote>
  <w:footnote w:id="5">
    <w:p w14:paraId="23C20FA4" w14:textId="4A92F3CB" w:rsidR="00AB64BE" w:rsidRDefault="00AB64BE">
      <w:pPr>
        <w:pStyle w:val="Fotnotetekst"/>
      </w:pPr>
      <w:r>
        <w:rPr>
          <w:rStyle w:val="Fotnotereferanse"/>
        </w:rPr>
        <w:footnoteRef/>
      </w:r>
      <w:r>
        <w:t xml:space="preserve"> Prop. 139 L (2022-2023) punkt 11.</w:t>
      </w:r>
      <w:r w:rsidR="0005139F">
        <w:t>4.2.1.</w:t>
      </w:r>
      <w:r>
        <w:t xml:space="preserve"> </w:t>
      </w:r>
    </w:p>
  </w:footnote>
  <w:footnote w:id="6">
    <w:p w14:paraId="66DEC823" w14:textId="77777777" w:rsidR="008E22CB" w:rsidRDefault="008E22CB">
      <w:pPr>
        <w:pStyle w:val="Fotnotetekst"/>
      </w:pPr>
      <w:r>
        <w:rPr>
          <w:rStyle w:val="Fotnotereferanse"/>
        </w:rPr>
        <w:footnoteRef/>
      </w:r>
      <w:r>
        <w:t xml:space="preserve"> Prop. 139 L (2022-2023) punkt 11.4.2.1. </w:t>
      </w:r>
    </w:p>
  </w:footnote>
  <w:footnote w:id="7">
    <w:p w14:paraId="0BB0E473" w14:textId="77777777" w:rsidR="007003E1" w:rsidRDefault="007003E1">
      <w:pPr>
        <w:pStyle w:val="Fotnotetekst"/>
      </w:pPr>
      <w:r>
        <w:rPr>
          <w:rStyle w:val="Fotnotereferanse"/>
        </w:rPr>
        <w:footnoteRef/>
      </w:r>
      <w:r>
        <w:t xml:space="preserve"> Prop 13</w:t>
      </w:r>
      <w:r w:rsidR="0087101D">
        <w:t xml:space="preserve">9 L (2022-2023) punkt 12.4. </w:t>
      </w:r>
    </w:p>
  </w:footnote>
  <w:footnote w:id="8">
    <w:p w14:paraId="6DA82366" w14:textId="43B3E318" w:rsidR="002E4402" w:rsidRDefault="002E4402">
      <w:pPr>
        <w:pStyle w:val="Fotnotetekst"/>
      </w:pPr>
      <w:r>
        <w:rPr>
          <w:rStyle w:val="Fotnotereferanse"/>
        </w:rPr>
        <w:footnoteRef/>
      </w:r>
      <w:r>
        <w:t xml:space="preserve"> Straffeloven § 52b annet ledd.</w:t>
      </w:r>
    </w:p>
  </w:footnote>
  <w:footnote w:id="9">
    <w:p w14:paraId="0DECC644" w14:textId="77777777" w:rsidR="002C0DEB" w:rsidRDefault="002C0DEB" w:rsidP="002C0DEB">
      <w:pPr>
        <w:pStyle w:val="Fotnotetekst"/>
      </w:pPr>
      <w:r>
        <w:rPr>
          <w:rStyle w:val="Fotnotereferanse"/>
        </w:rPr>
        <w:footnoteRef/>
      </w:r>
      <w:r>
        <w:t xml:space="preserve"> Prop. 139 L (2022-2023) punkt 11.4.2.1. </w:t>
      </w:r>
    </w:p>
  </w:footnote>
  <w:footnote w:id="10">
    <w:p w14:paraId="1C38BB50" w14:textId="77777777" w:rsidR="00B93970" w:rsidRDefault="00B93970">
      <w:pPr>
        <w:pStyle w:val="Fotnotetekst"/>
      </w:pPr>
      <w:r>
        <w:rPr>
          <w:rStyle w:val="Fotnotereferanse"/>
        </w:rPr>
        <w:footnoteRef/>
      </w:r>
      <w:r>
        <w:t xml:space="preserve"> Domstolloven § 125 </w:t>
      </w:r>
      <w:r w:rsidR="00C82660">
        <w:t xml:space="preserve">første ledd bokstav </w:t>
      </w:r>
      <w:r>
        <w:t>d), jf. FNs barnekonvensjon artikkel 40</w:t>
      </w:r>
      <w:r w:rsidR="000F4E07">
        <w:t xml:space="preserve">, jf. også straffeprosessloven § 161 a, som tolkes utvidende, jf. FNs barnekonvensjon artikkel 40. </w:t>
      </w:r>
    </w:p>
  </w:footnote>
  <w:footnote w:id="11">
    <w:p w14:paraId="4776B3FE" w14:textId="77777777" w:rsidR="00A24E13" w:rsidRDefault="00A24E13">
      <w:pPr>
        <w:pStyle w:val="Fotnotetekst"/>
      </w:pPr>
      <w:r>
        <w:rPr>
          <w:rStyle w:val="Fotnotereferanse"/>
        </w:rPr>
        <w:footnoteRef/>
      </w:r>
      <w:r>
        <w:t xml:space="preserve"> </w:t>
      </w:r>
      <w:r w:rsidR="00152742">
        <w:t xml:space="preserve">Se også </w:t>
      </w:r>
      <w:hyperlink r:id="rId1" w:history="1">
        <w:r w:rsidR="00152742">
          <w:rPr>
            <w:rStyle w:val="Hyperkobling"/>
          </w:rPr>
          <w:t>Kriminalomsorgen_8 sider_A5_UNG_ny.indd (custompublish.com)</w:t>
        </w:r>
      </w:hyperlink>
      <w:r w:rsidR="00F42574">
        <w:t xml:space="preserve"> (samfunnsstraff for unge), </w:t>
      </w:r>
      <w:hyperlink r:id="rId2" w:history="1">
        <w:r w:rsidR="007B70A4">
          <w:rPr>
            <w:rStyle w:val="Hyperkobling"/>
          </w:rPr>
          <w:t>Ungdomsstraff - Konfliktrådet (konfliktraadet.no)</w:t>
        </w:r>
      </w:hyperlink>
      <w:r w:rsidR="007B70A4">
        <w:t xml:space="preserve"> (ungdomsstraff), og </w:t>
      </w:r>
      <w:hyperlink r:id="rId3" w:history="1">
        <w:r w:rsidR="00A34F5B">
          <w:rPr>
            <w:rStyle w:val="Hyperkobling"/>
          </w:rPr>
          <w:t>Ungdomsfengsel - Kriminalomsorgen.no</w:t>
        </w:r>
      </w:hyperlink>
      <w:r w:rsidR="00A34F5B">
        <w:t xml:space="preserve"> (ungdomstilbud i fengslene).</w:t>
      </w:r>
    </w:p>
  </w:footnote>
  <w:footnote w:id="12">
    <w:p w14:paraId="2FE3FF80" w14:textId="77777777" w:rsidR="002D4435" w:rsidRDefault="002D4435">
      <w:pPr>
        <w:pStyle w:val="Fotnotetekst"/>
      </w:pPr>
      <w:r>
        <w:rPr>
          <w:rStyle w:val="Fotnotereferanse"/>
        </w:rPr>
        <w:footnoteRef/>
      </w:r>
      <w:r>
        <w:t xml:space="preserve"> Prop. 139 L (2022-2023) punkt 11.4.2.1.</w:t>
      </w:r>
    </w:p>
  </w:footnote>
  <w:footnote w:id="13">
    <w:p w14:paraId="22ACA198" w14:textId="5172C93B" w:rsidR="002E4402" w:rsidRDefault="002E4402">
      <w:pPr>
        <w:pStyle w:val="Fotnotetekst"/>
      </w:pPr>
      <w:r>
        <w:rPr>
          <w:rStyle w:val="Fotnotereferanse"/>
        </w:rPr>
        <w:footnoteRef/>
      </w:r>
      <w:r>
        <w:t xml:space="preserve"> Se mer om dette i bl.a. Prop. 139 L (2022-2023) punkt 11.4.2.1.</w:t>
      </w:r>
    </w:p>
  </w:footnote>
  <w:footnote w:id="14">
    <w:p w14:paraId="70890913" w14:textId="31E83F4E" w:rsidR="00767D29" w:rsidRDefault="00767D29">
      <w:pPr>
        <w:pStyle w:val="Fotnotetekst"/>
      </w:pPr>
      <w:r>
        <w:rPr>
          <w:rStyle w:val="Fotnotereferanse"/>
        </w:rPr>
        <w:footnoteRef/>
      </w:r>
      <w:r>
        <w:t xml:space="preserve"> Se nærmere om særvilkår under punkt 8. </w:t>
      </w:r>
    </w:p>
  </w:footnote>
  <w:footnote w:id="15">
    <w:p w14:paraId="58CD9E60" w14:textId="77777777" w:rsidR="003B7E87" w:rsidRDefault="003B7E87">
      <w:pPr>
        <w:pStyle w:val="Fotnotetekst"/>
      </w:pPr>
      <w:r>
        <w:rPr>
          <w:rStyle w:val="Fotnotereferanse"/>
        </w:rPr>
        <w:footnoteRef/>
      </w:r>
      <w:r>
        <w:t xml:space="preserve"> </w:t>
      </w:r>
      <w:r w:rsidR="00FB5B79">
        <w:t xml:space="preserve">Prop. 139 L (2022-2023) punkt 12.4. </w:t>
      </w:r>
    </w:p>
  </w:footnote>
  <w:footnote w:id="16">
    <w:p w14:paraId="6341B0A6" w14:textId="77777777" w:rsidR="00EF4E59" w:rsidRDefault="00EF4E59">
      <w:pPr>
        <w:pStyle w:val="Fotnotetekst"/>
      </w:pPr>
      <w:r>
        <w:rPr>
          <w:rStyle w:val="Fotnotereferanse"/>
        </w:rPr>
        <w:footnoteRef/>
      </w:r>
      <w:r>
        <w:t xml:space="preserve"> Lovbestemmelsen ble endret ved lov</w:t>
      </w:r>
      <w:r w:rsidR="009F278D">
        <w:t xml:space="preserve">endringer som trådte i kraft 1. september 2024. </w:t>
      </w:r>
    </w:p>
  </w:footnote>
  <w:footnote w:id="17">
    <w:p w14:paraId="6A22C018" w14:textId="77777777" w:rsidR="00C7110D" w:rsidRDefault="00C7110D">
      <w:pPr>
        <w:pStyle w:val="Fotnotetekst"/>
      </w:pPr>
      <w:r>
        <w:rPr>
          <w:rStyle w:val="Fotnotereferanse"/>
        </w:rPr>
        <w:footnoteRef/>
      </w:r>
      <w:r>
        <w:t xml:space="preserve"> </w:t>
      </w:r>
      <w:r w:rsidR="00BF525F">
        <w:t xml:space="preserve">Prop. 139 L (2022-2023) punkt 12.4. </w:t>
      </w:r>
    </w:p>
  </w:footnote>
  <w:footnote w:id="18">
    <w:p w14:paraId="52305938" w14:textId="77777777" w:rsidR="00E54EB3" w:rsidRDefault="00E54EB3">
      <w:pPr>
        <w:pStyle w:val="Fotnotetekst"/>
      </w:pPr>
      <w:r>
        <w:rPr>
          <w:rStyle w:val="Fotnotereferanse"/>
        </w:rPr>
        <w:footnoteRef/>
      </w:r>
      <w:r>
        <w:t xml:space="preserve"> Prop. 139 L (2022-2023) punkt 12.4.</w:t>
      </w:r>
    </w:p>
  </w:footnote>
  <w:footnote w:id="19">
    <w:p w14:paraId="23DBA6E4" w14:textId="77777777" w:rsidR="00BF146F" w:rsidRDefault="00BF146F">
      <w:pPr>
        <w:pStyle w:val="Fotnotetekst"/>
      </w:pPr>
      <w:r>
        <w:rPr>
          <w:rStyle w:val="Fotnotereferanse"/>
        </w:rPr>
        <w:footnoteRef/>
      </w:r>
      <w:r>
        <w:t xml:space="preserve"> Prop. 139 L (2022-2023) punkt 12.4.</w:t>
      </w:r>
    </w:p>
  </w:footnote>
  <w:footnote w:id="20">
    <w:p w14:paraId="3C9E41BC" w14:textId="77777777" w:rsidR="000C1481" w:rsidRDefault="000C1481">
      <w:pPr>
        <w:pStyle w:val="Fotnotetekst"/>
      </w:pPr>
      <w:r>
        <w:rPr>
          <w:rStyle w:val="Fotnotereferanse"/>
        </w:rPr>
        <w:footnoteRef/>
      </w:r>
      <w:r>
        <w:t xml:space="preserve"> Straffeprosessloven § 162</w:t>
      </w:r>
      <w:r w:rsidR="006E33B1">
        <w:t>.</w:t>
      </w:r>
    </w:p>
  </w:footnote>
  <w:footnote w:id="21">
    <w:p w14:paraId="1E4C9906" w14:textId="77777777" w:rsidR="004D00E7" w:rsidRDefault="004D00E7">
      <w:pPr>
        <w:pStyle w:val="Fotnotetekst"/>
      </w:pPr>
      <w:r>
        <w:rPr>
          <w:rStyle w:val="Fotnotereferanse"/>
        </w:rPr>
        <w:footnoteRef/>
      </w:r>
      <w:r>
        <w:t xml:space="preserve"> Prop. 139 L (2022-2023) punkt 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104586"/>
      <w:docPartObj>
        <w:docPartGallery w:val="Page Numbers (Top of Page)"/>
        <w:docPartUnique/>
      </w:docPartObj>
    </w:sdtPr>
    <w:sdtEndPr/>
    <w:sdtContent>
      <w:p w14:paraId="2C9F041F" w14:textId="403A62B9" w:rsidR="003C64B8" w:rsidRDefault="003C64B8">
        <w:pPr>
          <w:pStyle w:val="Topptekst"/>
          <w:jc w:val="right"/>
        </w:pPr>
        <w:r>
          <w:fldChar w:fldCharType="begin"/>
        </w:r>
        <w:r>
          <w:instrText>PAGE   \* MERGEFORMAT</w:instrText>
        </w:r>
        <w:r>
          <w:fldChar w:fldCharType="separate"/>
        </w:r>
        <w:r>
          <w:t>2</w:t>
        </w:r>
        <w:r>
          <w:fldChar w:fldCharType="end"/>
        </w:r>
      </w:p>
    </w:sdtContent>
  </w:sdt>
  <w:p w14:paraId="68949618" w14:textId="77777777" w:rsidR="003C64B8" w:rsidRDefault="003C64B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2837"/>
    <w:multiLevelType w:val="hybridMultilevel"/>
    <w:tmpl w:val="683A12B8"/>
    <w:lvl w:ilvl="0" w:tplc="B44E8D5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4A507E"/>
    <w:multiLevelType w:val="hybridMultilevel"/>
    <w:tmpl w:val="27789B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8BD032C"/>
    <w:multiLevelType w:val="hybridMultilevel"/>
    <w:tmpl w:val="6EDC6750"/>
    <w:lvl w:ilvl="0" w:tplc="6256D99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9DE7376"/>
    <w:multiLevelType w:val="hybridMultilevel"/>
    <w:tmpl w:val="05DE5308"/>
    <w:lvl w:ilvl="0" w:tplc="6ECE43E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58535550">
    <w:abstractNumId w:val="0"/>
  </w:num>
  <w:num w:numId="2" w16cid:durableId="764230533">
    <w:abstractNumId w:val="2"/>
  </w:num>
  <w:num w:numId="3" w16cid:durableId="1477140230">
    <w:abstractNumId w:val="3"/>
  </w:num>
  <w:num w:numId="4" w16cid:durableId="454450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747"/>
    <w:rsid w:val="00000F7F"/>
    <w:rsid w:val="00043AF1"/>
    <w:rsid w:val="00044A51"/>
    <w:rsid w:val="0005139F"/>
    <w:rsid w:val="00077659"/>
    <w:rsid w:val="000778D3"/>
    <w:rsid w:val="00081FF0"/>
    <w:rsid w:val="00086650"/>
    <w:rsid w:val="000873CA"/>
    <w:rsid w:val="000924E3"/>
    <w:rsid w:val="000A499F"/>
    <w:rsid w:val="000C1481"/>
    <w:rsid w:val="000E6A80"/>
    <w:rsid w:val="000F4E07"/>
    <w:rsid w:val="0013475D"/>
    <w:rsid w:val="00150A4E"/>
    <w:rsid w:val="00152742"/>
    <w:rsid w:val="00165087"/>
    <w:rsid w:val="00165325"/>
    <w:rsid w:val="00176C29"/>
    <w:rsid w:val="00194F26"/>
    <w:rsid w:val="001C0A83"/>
    <w:rsid w:val="002119CB"/>
    <w:rsid w:val="00231C41"/>
    <w:rsid w:val="002323AD"/>
    <w:rsid w:val="00250D05"/>
    <w:rsid w:val="00251A94"/>
    <w:rsid w:val="002645AE"/>
    <w:rsid w:val="0028664D"/>
    <w:rsid w:val="002943F4"/>
    <w:rsid w:val="002A1835"/>
    <w:rsid w:val="002A58DB"/>
    <w:rsid w:val="002C0DEB"/>
    <w:rsid w:val="002D19CB"/>
    <w:rsid w:val="002D2928"/>
    <w:rsid w:val="002D4435"/>
    <w:rsid w:val="002E4402"/>
    <w:rsid w:val="002F166D"/>
    <w:rsid w:val="003165CA"/>
    <w:rsid w:val="00316696"/>
    <w:rsid w:val="003436B9"/>
    <w:rsid w:val="003441DB"/>
    <w:rsid w:val="003577CF"/>
    <w:rsid w:val="003608A6"/>
    <w:rsid w:val="003635E6"/>
    <w:rsid w:val="00394AB4"/>
    <w:rsid w:val="003B7E87"/>
    <w:rsid w:val="003C64B8"/>
    <w:rsid w:val="003E490F"/>
    <w:rsid w:val="003E5D11"/>
    <w:rsid w:val="00413EB2"/>
    <w:rsid w:val="00415241"/>
    <w:rsid w:val="00432A85"/>
    <w:rsid w:val="004365AD"/>
    <w:rsid w:val="00442EEC"/>
    <w:rsid w:val="00474F4B"/>
    <w:rsid w:val="00477F36"/>
    <w:rsid w:val="00481259"/>
    <w:rsid w:val="00491E62"/>
    <w:rsid w:val="004D00E7"/>
    <w:rsid w:val="004E16EF"/>
    <w:rsid w:val="00542CED"/>
    <w:rsid w:val="005721DD"/>
    <w:rsid w:val="00573427"/>
    <w:rsid w:val="00577C42"/>
    <w:rsid w:val="00593185"/>
    <w:rsid w:val="0059464F"/>
    <w:rsid w:val="005A7572"/>
    <w:rsid w:val="005B0D3B"/>
    <w:rsid w:val="005B44CE"/>
    <w:rsid w:val="0061136A"/>
    <w:rsid w:val="00615A6F"/>
    <w:rsid w:val="006212D0"/>
    <w:rsid w:val="00637867"/>
    <w:rsid w:val="00640638"/>
    <w:rsid w:val="00640CC4"/>
    <w:rsid w:val="0064653F"/>
    <w:rsid w:val="00652A9F"/>
    <w:rsid w:val="00653BE6"/>
    <w:rsid w:val="00671379"/>
    <w:rsid w:val="00673ED5"/>
    <w:rsid w:val="006763EB"/>
    <w:rsid w:val="00687E5F"/>
    <w:rsid w:val="006937BD"/>
    <w:rsid w:val="006A41E0"/>
    <w:rsid w:val="006C7137"/>
    <w:rsid w:val="006D4751"/>
    <w:rsid w:val="006E33B1"/>
    <w:rsid w:val="006F64EF"/>
    <w:rsid w:val="007003E1"/>
    <w:rsid w:val="007555B2"/>
    <w:rsid w:val="00767D29"/>
    <w:rsid w:val="00770FF7"/>
    <w:rsid w:val="007B70A4"/>
    <w:rsid w:val="007E4986"/>
    <w:rsid w:val="0080472F"/>
    <w:rsid w:val="00812B9D"/>
    <w:rsid w:val="00830A9F"/>
    <w:rsid w:val="00864193"/>
    <w:rsid w:val="0087101D"/>
    <w:rsid w:val="0087570F"/>
    <w:rsid w:val="008766EC"/>
    <w:rsid w:val="0088166D"/>
    <w:rsid w:val="008942E2"/>
    <w:rsid w:val="0089777A"/>
    <w:rsid w:val="008A67FD"/>
    <w:rsid w:val="008A7124"/>
    <w:rsid w:val="008D12AF"/>
    <w:rsid w:val="008D1761"/>
    <w:rsid w:val="008E1E68"/>
    <w:rsid w:val="008E22CB"/>
    <w:rsid w:val="0090182E"/>
    <w:rsid w:val="00911F41"/>
    <w:rsid w:val="00914F1E"/>
    <w:rsid w:val="00925049"/>
    <w:rsid w:val="00941EB4"/>
    <w:rsid w:val="00942999"/>
    <w:rsid w:val="009779C3"/>
    <w:rsid w:val="00983A2A"/>
    <w:rsid w:val="0099302A"/>
    <w:rsid w:val="009945F3"/>
    <w:rsid w:val="009B2747"/>
    <w:rsid w:val="009B3D6A"/>
    <w:rsid w:val="009B783C"/>
    <w:rsid w:val="009E0D89"/>
    <w:rsid w:val="009F278D"/>
    <w:rsid w:val="00A034DD"/>
    <w:rsid w:val="00A06CFD"/>
    <w:rsid w:val="00A17E02"/>
    <w:rsid w:val="00A24E13"/>
    <w:rsid w:val="00A34F5B"/>
    <w:rsid w:val="00A400F9"/>
    <w:rsid w:val="00A501A4"/>
    <w:rsid w:val="00A5228F"/>
    <w:rsid w:val="00A618EF"/>
    <w:rsid w:val="00A6540D"/>
    <w:rsid w:val="00A710B4"/>
    <w:rsid w:val="00AB64BE"/>
    <w:rsid w:val="00AC0CB5"/>
    <w:rsid w:val="00AF115C"/>
    <w:rsid w:val="00AF1CB7"/>
    <w:rsid w:val="00B2461C"/>
    <w:rsid w:val="00B24B67"/>
    <w:rsid w:val="00B25DC5"/>
    <w:rsid w:val="00B34777"/>
    <w:rsid w:val="00B81DCE"/>
    <w:rsid w:val="00B93970"/>
    <w:rsid w:val="00B97D30"/>
    <w:rsid w:val="00BA62C7"/>
    <w:rsid w:val="00BA6B7C"/>
    <w:rsid w:val="00BB2E30"/>
    <w:rsid w:val="00BC318C"/>
    <w:rsid w:val="00BD79C7"/>
    <w:rsid w:val="00BE025A"/>
    <w:rsid w:val="00BF146F"/>
    <w:rsid w:val="00BF525F"/>
    <w:rsid w:val="00C07150"/>
    <w:rsid w:val="00C11DCF"/>
    <w:rsid w:val="00C33E8C"/>
    <w:rsid w:val="00C4504A"/>
    <w:rsid w:val="00C51A7C"/>
    <w:rsid w:val="00C54641"/>
    <w:rsid w:val="00C64AD9"/>
    <w:rsid w:val="00C7110D"/>
    <w:rsid w:val="00C762A3"/>
    <w:rsid w:val="00C80BFA"/>
    <w:rsid w:val="00C82660"/>
    <w:rsid w:val="00C91673"/>
    <w:rsid w:val="00C97F90"/>
    <w:rsid w:val="00CA6F32"/>
    <w:rsid w:val="00CB0624"/>
    <w:rsid w:val="00CB21BD"/>
    <w:rsid w:val="00CC39DD"/>
    <w:rsid w:val="00CD10BF"/>
    <w:rsid w:val="00CF6CD7"/>
    <w:rsid w:val="00D02D77"/>
    <w:rsid w:val="00D02DB5"/>
    <w:rsid w:val="00D04F1C"/>
    <w:rsid w:val="00D2323F"/>
    <w:rsid w:val="00D408F8"/>
    <w:rsid w:val="00D576F8"/>
    <w:rsid w:val="00D6374A"/>
    <w:rsid w:val="00D6729D"/>
    <w:rsid w:val="00D75A95"/>
    <w:rsid w:val="00D91741"/>
    <w:rsid w:val="00DA5952"/>
    <w:rsid w:val="00DB10E2"/>
    <w:rsid w:val="00DF57B6"/>
    <w:rsid w:val="00E01EB3"/>
    <w:rsid w:val="00E4069F"/>
    <w:rsid w:val="00E51164"/>
    <w:rsid w:val="00E54EB3"/>
    <w:rsid w:val="00E5611E"/>
    <w:rsid w:val="00E57E44"/>
    <w:rsid w:val="00E62D8D"/>
    <w:rsid w:val="00E80095"/>
    <w:rsid w:val="00E9388B"/>
    <w:rsid w:val="00E97523"/>
    <w:rsid w:val="00EC3FE7"/>
    <w:rsid w:val="00EF4E59"/>
    <w:rsid w:val="00F42574"/>
    <w:rsid w:val="00F54204"/>
    <w:rsid w:val="00FA2BE8"/>
    <w:rsid w:val="00FA4EC2"/>
    <w:rsid w:val="00FB224F"/>
    <w:rsid w:val="00FB5B79"/>
    <w:rsid w:val="00FD7960"/>
    <w:rsid w:val="00FF0F19"/>
    <w:rsid w:val="00FF13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7810"/>
  <w15:chartTrackingRefBased/>
  <w15:docId w15:val="{916D38AA-D466-4B44-A06A-917451C0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B2747"/>
    <w:pPr>
      <w:ind w:left="720"/>
      <w:contextualSpacing/>
    </w:pPr>
  </w:style>
  <w:style w:type="paragraph" w:styleId="Fotnotetekst">
    <w:name w:val="footnote text"/>
    <w:basedOn w:val="Normal"/>
    <w:link w:val="FotnotetekstTegn"/>
    <w:uiPriority w:val="99"/>
    <w:semiHidden/>
    <w:unhideWhenUsed/>
    <w:rsid w:val="00AC0CB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C0CB5"/>
    <w:rPr>
      <w:sz w:val="20"/>
      <w:szCs w:val="20"/>
    </w:rPr>
  </w:style>
  <w:style w:type="character" w:styleId="Fotnotereferanse">
    <w:name w:val="footnote reference"/>
    <w:basedOn w:val="Standardskriftforavsnitt"/>
    <w:uiPriority w:val="99"/>
    <w:semiHidden/>
    <w:unhideWhenUsed/>
    <w:rsid w:val="00AC0CB5"/>
    <w:rPr>
      <w:vertAlign w:val="superscript"/>
    </w:rPr>
  </w:style>
  <w:style w:type="character" w:styleId="Hyperkobling">
    <w:name w:val="Hyperlink"/>
    <w:basedOn w:val="Standardskriftforavsnitt"/>
    <w:uiPriority w:val="99"/>
    <w:semiHidden/>
    <w:unhideWhenUsed/>
    <w:rsid w:val="00152742"/>
    <w:rPr>
      <w:color w:val="0000FF"/>
      <w:u w:val="single"/>
    </w:rPr>
  </w:style>
  <w:style w:type="paragraph" w:styleId="Revisjon">
    <w:name w:val="Revision"/>
    <w:hidden/>
    <w:uiPriority w:val="99"/>
    <w:semiHidden/>
    <w:rsid w:val="00B97D30"/>
    <w:pPr>
      <w:spacing w:after="0" w:line="240" w:lineRule="auto"/>
    </w:pPr>
  </w:style>
  <w:style w:type="character" w:styleId="Merknadsreferanse">
    <w:name w:val="annotation reference"/>
    <w:basedOn w:val="Standardskriftforavsnitt"/>
    <w:uiPriority w:val="99"/>
    <w:semiHidden/>
    <w:unhideWhenUsed/>
    <w:rsid w:val="00B97D30"/>
    <w:rPr>
      <w:sz w:val="16"/>
      <w:szCs w:val="16"/>
    </w:rPr>
  </w:style>
  <w:style w:type="paragraph" w:styleId="Merknadstekst">
    <w:name w:val="annotation text"/>
    <w:basedOn w:val="Normal"/>
    <w:link w:val="MerknadstekstTegn"/>
    <w:uiPriority w:val="99"/>
    <w:unhideWhenUsed/>
    <w:rsid w:val="00B97D30"/>
    <w:pPr>
      <w:spacing w:line="240" w:lineRule="auto"/>
    </w:pPr>
    <w:rPr>
      <w:sz w:val="20"/>
      <w:szCs w:val="20"/>
    </w:rPr>
  </w:style>
  <w:style w:type="character" w:customStyle="1" w:styleId="MerknadstekstTegn">
    <w:name w:val="Merknadstekst Tegn"/>
    <w:basedOn w:val="Standardskriftforavsnitt"/>
    <w:link w:val="Merknadstekst"/>
    <w:uiPriority w:val="99"/>
    <w:rsid w:val="00B97D30"/>
    <w:rPr>
      <w:sz w:val="20"/>
      <w:szCs w:val="20"/>
    </w:rPr>
  </w:style>
  <w:style w:type="paragraph" w:styleId="Kommentaremne">
    <w:name w:val="annotation subject"/>
    <w:basedOn w:val="Merknadstekst"/>
    <w:next w:val="Merknadstekst"/>
    <w:link w:val="KommentaremneTegn"/>
    <w:uiPriority w:val="99"/>
    <w:semiHidden/>
    <w:unhideWhenUsed/>
    <w:rsid w:val="00B97D30"/>
    <w:rPr>
      <w:b/>
      <w:bCs/>
    </w:rPr>
  </w:style>
  <w:style w:type="character" w:customStyle="1" w:styleId="KommentaremneTegn">
    <w:name w:val="Kommentaremne Tegn"/>
    <w:basedOn w:val="MerknadstekstTegn"/>
    <w:link w:val="Kommentaremne"/>
    <w:uiPriority w:val="99"/>
    <w:semiHidden/>
    <w:rsid w:val="00B97D30"/>
    <w:rPr>
      <w:b/>
      <w:bCs/>
      <w:sz w:val="20"/>
      <w:szCs w:val="20"/>
    </w:rPr>
  </w:style>
  <w:style w:type="paragraph" w:styleId="Topptekst">
    <w:name w:val="header"/>
    <w:basedOn w:val="Normal"/>
    <w:link w:val="TopptekstTegn"/>
    <w:uiPriority w:val="99"/>
    <w:unhideWhenUsed/>
    <w:rsid w:val="008641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4193"/>
  </w:style>
  <w:style w:type="paragraph" w:styleId="Bunntekst">
    <w:name w:val="footer"/>
    <w:basedOn w:val="Normal"/>
    <w:link w:val="BunntekstTegn"/>
    <w:uiPriority w:val="99"/>
    <w:unhideWhenUsed/>
    <w:rsid w:val="0086419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4193"/>
  </w:style>
  <w:style w:type="paragraph" w:styleId="Bobletekst">
    <w:name w:val="Balloon Text"/>
    <w:basedOn w:val="Normal"/>
    <w:link w:val="BobletekstTegn"/>
    <w:uiPriority w:val="99"/>
    <w:semiHidden/>
    <w:unhideWhenUsed/>
    <w:rsid w:val="009B783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B78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89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kriminalomsorgen.no/ungdomsfengsel.535454.no.html" TargetMode="External"/><Relationship Id="rId2" Type="http://schemas.openxmlformats.org/officeDocument/2006/relationships/hyperlink" Target="https://konfliktraadet.no/straffereaksjoner/ungdomsstraff-og-ungdomsoppfolging/ungdomsstraff/" TargetMode="External"/><Relationship Id="rId1" Type="http://schemas.openxmlformats.org/officeDocument/2006/relationships/hyperlink" Target="https://img3.custompublish.com/getfile.php/4951189.823.zm7ztspnnbbl7k/Kriminalomsorgen%2Bbrosjyre%2Bo%2Bsamfunnsstraff%2Bfor%2Bunge%2B2022.pdf?return=www.kriminalomsorg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84EA3-F869-4247-8ADC-B1FB0061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1813</Words>
  <Characters>9614</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Skjold Rafoss</dc:creator>
  <cp:keywords/>
  <dc:description/>
  <cp:lastModifiedBy>Irene Ramm</cp:lastModifiedBy>
  <cp:revision>2</cp:revision>
  <dcterms:created xsi:type="dcterms:W3CDTF">2025-02-14T11:04:00Z</dcterms:created>
  <dcterms:modified xsi:type="dcterms:W3CDTF">2025-02-14T11:04:00Z</dcterms:modified>
</cp:coreProperties>
</file>