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B68" w:rsidRPr="00E944BD" w:rsidRDefault="00DC0B68" w:rsidP="00DC0B68">
      <w:pPr>
        <w:rPr>
          <w:rFonts w:ascii="Times New Roman" w:hAnsi="Times New Roman" w:cs="Times New Roman"/>
          <w:sz w:val="24"/>
          <w:szCs w:val="24"/>
        </w:rPr>
      </w:pPr>
      <w:bookmarkStart w:id="0" w:name="_GoBack"/>
      <w:bookmarkEnd w:id="0"/>
      <w:r w:rsidRPr="00E944BD">
        <w:rPr>
          <w:rFonts w:ascii="Times New Roman" w:hAnsi="Times New Roman" w:cs="Times New Roman"/>
          <w:sz w:val="24"/>
          <w:szCs w:val="24"/>
        </w:rPr>
        <w:t>Retningslinjer for tildeling</w:t>
      </w:r>
      <w:r>
        <w:rPr>
          <w:rFonts w:ascii="Times New Roman" w:hAnsi="Times New Roman" w:cs="Times New Roman"/>
          <w:sz w:val="24"/>
          <w:szCs w:val="24"/>
        </w:rPr>
        <w:t xml:space="preserve"> og omfordeling</w:t>
      </w:r>
      <w:r w:rsidRPr="00E944BD">
        <w:rPr>
          <w:rFonts w:ascii="Times New Roman" w:hAnsi="Times New Roman" w:cs="Times New Roman"/>
          <w:sz w:val="24"/>
          <w:szCs w:val="24"/>
        </w:rPr>
        <w:t xml:space="preserve"> av saker ved Trøndelag tingrett</w:t>
      </w:r>
      <w:r>
        <w:rPr>
          <w:rFonts w:ascii="Times New Roman" w:hAnsi="Times New Roman" w:cs="Times New Roman"/>
          <w:sz w:val="24"/>
          <w:szCs w:val="24"/>
        </w:rPr>
        <w:t xml:space="preserve"> </w:t>
      </w:r>
    </w:p>
    <w:p w:rsidR="00DC0B68" w:rsidRPr="00E944BD" w:rsidRDefault="00DC0B68" w:rsidP="00DC0B68">
      <w:pPr>
        <w:rPr>
          <w:rFonts w:ascii="Times New Roman" w:hAnsi="Times New Roman" w:cs="Times New Roman"/>
          <w:sz w:val="24"/>
          <w:szCs w:val="24"/>
        </w:rPr>
      </w:pPr>
    </w:p>
    <w:p w:rsidR="00DC0B68" w:rsidRDefault="00DC0B68" w:rsidP="00DC0B68">
      <w:pPr>
        <w:rPr>
          <w:rFonts w:ascii="Times New Roman" w:hAnsi="Times New Roman" w:cs="Times New Roman"/>
          <w:sz w:val="24"/>
          <w:szCs w:val="24"/>
        </w:rPr>
      </w:pPr>
      <w:r>
        <w:rPr>
          <w:rFonts w:ascii="Times New Roman" w:hAnsi="Times New Roman" w:cs="Times New Roman"/>
          <w:sz w:val="24"/>
          <w:szCs w:val="24"/>
        </w:rPr>
        <w:t xml:space="preserve">Bl. a. </w:t>
      </w:r>
      <w:r w:rsidRPr="00E944BD">
        <w:rPr>
          <w:rFonts w:ascii="Times New Roman" w:hAnsi="Times New Roman" w:cs="Times New Roman"/>
          <w:sz w:val="24"/>
          <w:szCs w:val="24"/>
        </w:rPr>
        <w:t xml:space="preserve">i lys EMK art 6 (1), </w:t>
      </w:r>
      <w:hyperlink r:id="rId7" w:history="1">
        <w:r w:rsidRPr="00493B8F">
          <w:rPr>
            <w:rStyle w:val="Hyperkobling"/>
            <w:rFonts w:ascii="Times New Roman" w:hAnsi="Times New Roman" w:cs="Times New Roman"/>
            <w:sz w:val="24"/>
            <w:szCs w:val="24"/>
          </w:rPr>
          <w:t>Councultative Council of European Judges (CCJE) opinion nr. 19</w:t>
        </w:r>
      </w:hyperlink>
      <w:r w:rsidRPr="00E944BD">
        <w:rPr>
          <w:rFonts w:ascii="Times New Roman" w:hAnsi="Times New Roman" w:cs="Times New Roman"/>
          <w:sz w:val="24"/>
          <w:szCs w:val="24"/>
        </w:rPr>
        <w:t xml:space="preserve">, delrapport 10 til </w:t>
      </w:r>
      <w:hyperlink r:id="rId8" w:history="1">
        <w:r w:rsidRPr="00493B8F">
          <w:rPr>
            <w:rStyle w:val="Hyperkobling"/>
            <w:rFonts w:ascii="Times New Roman" w:hAnsi="Times New Roman" w:cs="Times New Roman"/>
            <w:sz w:val="24"/>
            <w:szCs w:val="24"/>
          </w:rPr>
          <w:t>LOK-prosjektet</w:t>
        </w:r>
      </w:hyperlink>
      <w:r w:rsidRPr="00E944BD">
        <w:rPr>
          <w:rFonts w:ascii="Times New Roman" w:hAnsi="Times New Roman" w:cs="Times New Roman"/>
          <w:sz w:val="24"/>
          <w:szCs w:val="24"/>
        </w:rPr>
        <w:t xml:space="preserve"> </w:t>
      </w:r>
      <w:r>
        <w:rPr>
          <w:rFonts w:ascii="Times New Roman" w:hAnsi="Times New Roman" w:cs="Times New Roman"/>
          <w:sz w:val="24"/>
          <w:szCs w:val="24"/>
        </w:rPr>
        <w:t xml:space="preserve">og </w:t>
      </w:r>
      <w:hyperlink r:id="rId9" w:anchor="kap15" w:history="1">
        <w:r w:rsidRPr="00493B8F">
          <w:rPr>
            <w:rStyle w:val="Hyperkobling"/>
            <w:rFonts w:ascii="Times New Roman" w:hAnsi="Times New Roman" w:cs="Times New Roman"/>
            <w:sz w:val="24"/>
            <w:szCs w:val="24"/>
          </w:rPr>
          <w:t>Domstolkommisjone</w:t>
        </w:r>
        <w:r>
          <w:rPr>
            <w:rStyle w:val="Hyperkobling"/>
            <w:rFonts w:ascii="Times New Roman" w:hAnsi="Times New Roman" w:cs="Times New Roman"/>
            <w:sz w:val="24"/>
            <w:szCs w:val="24"/>
          </w:rPr>
          <w:t>n</w:t>
        </w:r>
        <w:r w:rsidRPr="00493B8F">
          <w:rPr>
            <w:rStyle w:val="Hyperkobling"/>
            <w:rFonts w:ascii="Times New Roman" w:hAnsi="Times New Roman" w:cs="Times New Roman"/>
            <w:sz w:val="24"/>
            <w:szCs w:val="24"/>
          </w:rPr>
          <w:t>s andre delrapport</w:t>
        </w:r>
      </w:hyperlink>
      <w:r>
        <w:rPr>
          <w:rFonts w:ascii="Times New Roman" w:hAnsi="Times New Roman" w:cs="Times New Roman"/>
          <w:sz w:val="24"/>
          <w:szCs w:val="24"/>
        </w:rPr>
        <w:t xml:space="preserve"> (bl. a. kap. 15)</w:t>
      </w:r>
      <w:r>
        <w:t xml:space="preserve"> </w:t>
      </w:r>
      <w:r>
        <w:rPr>
          <w:rFonts w:ascii="Times New Roman" w:hAnsi="Times New Roman" w:cs="Times New Roman"/>
          <w:sz w:val="24"/>
          <w:szCs w:val="24"/>
        </w:rPr>
        <w:t xml:space="preserve">er </w:t>
      </w:r>
      <w:r w:rsidRPr="00E944BD">
        <w:rPr>
          <w:rFonts w:ascii="Times New Roman" w:hAnsi="Times New Roman" w:cs="Times New Roman"/>
          <w:sz w:val="24"/>
          <w:szCs w:val="24"/>
        </w:rPr>
        <w:t>det hensiktsmessig å formalisere ordningen for til- og omfordeling av saker</w:t>
      </w:r>
      <w:r>
        <w:rPr>
          <w:rFonts w:ascii="Times New Roman" w:hAnsi="Times New Roman" w:cs="Times New Roman"/>
          <w:sz w:val="24"/>
          <w:szCs w:val="24"/>
        </w:rPr>
        <w:t xml:space="preserve"> ved domstolen</w:t>
      </w:r>
      <w:r w:rsidRPr="00E944BD">
        <w:rPr>
          <w:rFonts w:ascii="Times New Roman" w:hAnsi="Times New Roman" w:cs="Times New Roman"/>
          <w:sz w:val="24"/>
          <w:szCs w:val="24"/>
        </w:rPr>
        <w:t>.</w:t>
      </w:r>
    </w:p>
    <w:p w:rsidR="00DC0B68" w:rsidRDefault="00DC0B68" w:rsidP="00DC0B68">
      <w:pPr>
        <w:pStyle w:val="Listeavsnitt"/>
        <w:numPr>
          <w:ilvl w:val="0"/>
          <w:numId w:val="1"/>
        </w:numPr>
        <w:rPr>
          <w:rFonts w:ascii="Times New Roman" w:hAnsi="Times New Roman" w:cs="Times New Roman"/>
          <w:sz w:val="24"/>
          <w:szCs w:val="24"/>
        </w:rPr>
      </w:pPr>
      <w:r w:rsidRPr="002559D1">
        <w:rPr>
          <w:rFonts w:ascii="Times New Roman" w:hAnsi="Times New Roman" w:cs="Times New Roman"/>
          <w:sz w:val="24"/>
          <w:szCs w:val="24"/>
        </w:rPr>
        <w:t xml:space="preserve">Tildeling og omfordeling av saker gjøres av sorenskriveren eller den sorenskriveren måtte </w:t>
      </w:r>
      <w:r>
        <w:rPr>
          <w:rFonts w:ascii="Times New Roman" w:hAnsi="Times New Roman" w:cs="Times New Roman"/>
          <w:sz w:val="24"/>
          <w:szCs w:val="24"/>
        </w:rPr>
        <w:t>delegere</w:t>
      </w:r>
      <w:r w:rsidRPr="002559D1">
        <w:rPr>
          <w:rFonts w:ascii="Times New Roman" w:hAnsi="Times New Roman" w:cs="Times New Roman"/>
          <w:sz w:val="24"/>
          <w:szCs w:val="24"/>
        </w:rPr>
        <w:t xml:space="preserve"> oppgaven</w:t>
      </w:r>
      <w:r>
        <w:rPr>
          <w:rFonts w:ascii="Times New Roman" w:hAnsi="Times New Roman" w:cs="Times New Roman"/>
          <w:sz w:val="24"/>
          <w:szCs w:val="24"/>
        </w:rPr>
        <w:t xml:space="preserve"> til</w:t>
      </w:r>
      <w:r w:rsidRPr="002559D1">
        <w:rPr>
          <w:rFonts w:ascii="Times New Roman" w:hAnsi="Times New Roman" w:cs="Times New Roman"/>
          <w:sz w:val="24"/>
          <w:szCs w:val="24"/>
        </w:rPr>
        <w:t xml:space="preserve">. </w:t>
      </w:r>
    </w:p>
    <w:p w:rsidR="00DC0B68" w:rsidRPr="00950C96" w:rsidRDefault="00DC0B68" w:rsidP="00DC0B68">
      <w:pPr>
        <w:pStyle w:val="Listeavsnitt"/>
        <w:rPr>
          <w:rFonts w:ascii="Times New Roman" w:hAnsi="Times New Roman" w:cs="Times New Roman"/>
          <w:sz w:val="24"/>
          <w:szCs w:val="24"/>
        </w:rPr>
      </w:pPr>
    </w:p>
    <w:p w:rsidR="00DC0B68" w:rsidRDefault="00DC0B68" w:rsidP="00DC0B68">
      <w:pPr>
        <w:pStyle w:val="Listeavsnitt"/>
        <w:numPr>
          <w:ilvl w:val="0"/>
          <w:numId w:val="1"/>
        </w:numPr>
        <w:rPr>
          <w:rFonts w:ascii="Times New Roman" w:hAnsi="Times New Roman" w:cs="Times New Roman"/>
          <w:sz w:val="24"/>
          <w:szCs w:val="24"/>
        </w:rPr>
      </w:pPr>
      <w:r>
        <w:rPr>
          <w:rFonts w:ascii="Times New Roman" w:hAnsi="Times New Roman" w:cs="Times New Roman"/>
          <w:sz w:val="24"/>
          <w:szCs w:val="24"/>
        </w:rPr>
        <w:t xml:space="preserve">Utgangspunktet er at </w:t>
      </w:r>
      <w:r w:rsidRPr="002559D1">
        <w:rPr>
          <w:rFonts w:ascii="Times New Roman" w:hAnsi="Times New Roman" w:cs="Times New Roman"/>
          <w:sz w:val="24"/>
          <w:szCs w:val="24"/>
        </w:rPr>
        <w:t xml:space="preserve">saker for rettslig avgjørelse tildeles / omfordeles </w:t>
      </w:r>
      <w:r w:rsidRPr="00DC0B68">
        <w:rPr>
          <w:rFonts w:ascii="Times New Roman" w:hAnsi="Times New Roman" w:cs="Times New Roman"/>
          <w:sz w:val="24"/>
          <w:szCs w:val="24"/>
        </w:rPr>
        <w:t>tilfeldig</w:t>
      </w:r>
      <w:r w:rsidRPr="002559D1">
        <w:rPr>
          <w:rFonts w:ascii="Times New Roman" w:hAnsi="Times New Roman" w:cs="Times New Roman"/>
          <w:sz w:val="24"/>
          <w:szCs w:val="24"/>
        </w:rPr>
        <w:t>.</w:t>
      </w:r>
      <w:r>
        <w:rPr>
          <w:rFonts w:ascii="Times New Roman" w:hAnsi="Times New Roman" w:cs="Times New Roman"/>
          <w:sz w:val="24"/>
          <w:szCs w:val="24"/>
        </w:rPr>
        <w:t xml:space="preserve"> Dette tilfeldighetsprinsippet </w:t>
      </w:r>
      <w:r w:rsidRPr="002559D1">
        <w:rPr>
          <w:rFonts w:ascii="Times New Roman" w:hAnsi="Times New Roman" w:cs="Times New Roman"/>
          <w:sz w:val="24"/>
          <w:szCs w:val="24"/>
        </w:rPr>
        <w:t>må tilpasses andre saklige hensyn, særlig:</w:t>
      </w:r>
    </w:p>
    <w:p w:rsidR="00DC0B68" w:rsidRDefault="00DC0B68" w:rsidP="00DC0B68">
      <w:pPr>
        <w:pStyle w:val="Listeavsnitt"/>
        <w:numPr>
          <w:ilvl w:val="1"/>
          <w:numId w:val="1"/>
        </w:numPr>
        <w:rPr>
          <w:rFonts w:ascii="Times New Roman" w:hAnsi="Times New Roman" w:cs="Times New Roman"/>
          <w:sz w:val="24"/>
          <w:szCs w:val="24"/>
        </w:rPr>
      </w:pPr>
      <w:r w:rsidRPr="002559D1">
        <w:rPr>
          <w:rFonts w:ascii="Times New Roman" w:hAnsi="Times New Roman" w:cs="Times New Roman"/>
          <w:sz w:val="24"/>
          <w:szCs w:val="24"/>
        </w:rPr>
        <w:t>Dommerens habilitet,</w:t>
      </w:r>
    </w:p>
    <w:p w:rsidR="00DC0B68" w:rsidRDefault="00DC0B68" w:rsidP="00DC0B68">
      <w:pPr>
        <w:pStyle w:val="Listeavsnitt"/>
        <w:numPr>
          <w:ilvl w:val="1"/>
          <w:numId w:val="1"/>
        </w:numPr>
        <w:rPr>
          <w:rFonts w:ascii="Times New Roman" w:hAnsi="Times New Roman" w:cs="Times New Roman"/>
          <w:sz w:val="24"/>
          <w:szCs w:val="24"/>
        </w:rPr>
      </w:pPr>
      <w:r w:rsidRPr="002559D1">
        <w:rPr>
          <w:rFonts w:ascii="Times New Roman" w:hAnsi="Times New Roman" w:cs="Times New Roman"/>
          <w:sz w:val="24"/>
          <w:szCs w:val="24"/>
        </w:rPr>
        <w:t xml:space="preserve">Domstolens praksis med moderat spesialisering </w:t>
      </w:r>
      <w:r>
        <w:rPr>
          <w:rFonts w:ascii="Times New Roman" w:hAnsi="Times New Roman" w:cs="Times New Roman"/>
          <w:sz w:val="24"/>
          <w:szCs w:val="24"/>
        </w:rPr>
        <w:t xml:space="preserve">i sivile saker </w:t>
      </w:r>
      <w:r w:rsidRPr="002559D1">
        <w:rPr>
          <w:rFonts w:ascii="Times New Roman" w:hAnsi="Times New Roman" w:cs="Times New Roman"/>
          <w:sz w:val="24"/>
          <w:szCs w:val="24"/>
        </w:rPr>
        <w:t>og dommerens tilknytning til spesialiserte faggrupper med egen portefølje</w:t>
      </w:r>
      <w:r>
        <w:rPr>
          <w:rFonts w:ascii="Times New Roman" w:hAnsi="Times New Roman" w:cs="Times New Roman"/>
          <w:sz w:val="24"/>
          <w:szCs w:val="24"/>
        </w:rPr>
        <w:t>. I denne spesialiserte porteføljen legges</w:t>
      </w:r>
      <w:r w:rsidRPr="002559D1">
        <w:rPr>
          <w:rFonts w:ascii="Times New Roman" w:hAnsi="Times New Roman" w:cs="Times New Roman"/>
          <w:sz w:val="24"/>
          <w:szCs w:val="24"/>
        </w:rPr>
        <w:t xml:space="preserve"> tilfeldighetsprinsippet legges til grunn internt i gruppen.</w:t>
      </w:r>
      <w:r>
        <w:rPr>
          <w:rFonts w:ascii="Times New Roman" w:hAnsi="Times New Roman" w:cs="Times New Roman"/>
          <w:sz w:val="24"/>
          <w:szCs w:val="24"/>
        </w:rPr>
        <w:t xml:space="preserve"> </w:t>
      </w:r>
      <w:r w:rsidRPr="002559D1">
        <w:rPr>
          <w:rFonts w:ascii="Times New Roman" w:hAnsi="Times New Roman" w:cs="Times New Roman"/>
          <w:sz w:val="24"/>
          <w:szCs w:val="24"/>
        </w:rPr>
        <w:t>Dette gjelder saker innen 1) konkurs og skifte, 2) tvangssaker, 3) forberedelse av alle straffesaker, 4) rettsmekling, 5) sivile hastesaker og 6) store (kommersielle) tvister 7) barnesaker (akuttsaker, utreiseforbud og midlertidig avgjørelse før stevning)</w:t>
      </w:r>
      <w:r>
        <w:rPr>
          <w:rFonts w:ascii="Times New Roman" w:hAnsi="Times New Roman" w:cs="Times New Roman"/>
          <w:sz w:val="24"/>
          <w:szCs w:val="24"/>
        </w:rPr>
        <w:t xml:space="preserve">. </w:t>
      </w:r>
      <w:r w:rsidR="009F4E30">
        <w:rPr>
          <w:rFonts w:ascii="Times New Roman" w:hAnsi="Times New Roman" w:cs="Times New Roman"/>
          <w:sz w:val="24"/>
          <w:szCs w:val="24"/>
        </w:rPr>
        <w:t xml:space="preserve">I tillegg gjelder det for dommere som har kommunisert kompetanse / interesse for skjønnssaker.  </w:t>
      </w:r>
    </w:p>
    <w:p w:rsidR="00DC0B68" w:rsidRDefault="00DC0B68" w:rsidP="00DC0B68">
      <w:pPr>
        <w:pStyle w:val="Listeavsnitt"/>
        <w:numPr>
          <w:ilvl w:val="1"/>
          <w:numId w:val="1"/>
        </w:numPr>
        <w:rPr>
          <w:rFonts w:ascii="Times New Roman" w:hAnsi="Times New Roman" w:cs="Times New Roman"/>
          <w:sz w:val="24"/>
          <w:szCs w:val="24"/>
        </w:rPr>
      </w:pPr>
      <w:r w:rsidRPr="002559D1">
        <w:rPr>
          <w:rFonts w:ascii="Times New Roman" w:hAnsi="Times New Roman" w:cs="Times New Roman"/>
          <w:sz w:val="24"/>
          <w:szCs w:val="24"/>
        </w:rPr>
        <w:t>Sakens art og dommerens erfaring (spesielt for dommerfullmektiger og saker med stor medieinteresse),</w:t>
      </w:r>
    </w:p>
    <w:p w:rsidR="00DC0B68" w:rsidRDefault="00DC0B68" w:rsidP="00DC0B68">
      <w:pPr>
        <w:pStyle w:val="Listeavsnitt"/>
        <w:numPr>
          <w:ilvl w:val="1"/>
          <w:numId w:val="1"/>
        </w:numPr>
        <w:rPr>
          <w:rFonts w:ascii="Times New Roman" w:hAnsi="Times New Roman" w:cs="Times New Roman"/>
          <w:sz w:val="24"/>
          <w:szCs w:val="24"/>
        </w:rPr>
      </w:pPr>
      <w:r w:rsidRPr="00C66956">
        <w:rPr>
          <w:rFonts w:ascii="Times New Roman" w:hAnsi="Times New Roman" w:cs="Times New Roman"/>
          <w:sz w:val="24"/>
          <w:szCs w:val="24"/>
        </w:rPr>
        <w:t>Dommerens kapasitet, arbeidsbelastning og tilgjengelighet til å avgjøre saken med rimelig fremdrift må hensyntas i lys av lovgivers forventninger om forutsigbar praksis, fremdrift og saksbehandlingstid.</w:t>
      </w:r>
      <w:r>
        <w:rPr>
          <w:rFonts w:ascii="Times New Roman" w:hAnsi="Times New Roman" w:cs="Times New Roman"/>
          <w:sz w:val="24"/>
          <w:szCs w:val="24"/>
        </w:rPr>
        <w:t xml:space="preserve"> </w:t>
      </w:r>
    </w:p>
    <w:p w:rsidR="006D44E5" w:rsidRDefault="006D44E5" w:rsidP="006D44E5">
      <w:pPr>
        <w:pStyle w:val="Listeavsnitt"/>
        <w:rPr>
          <w:rFonts w:ascii="Times New Roman" w:hAnsi="Times New Roman" w:cs="Times New Roman"/>
          <w:sz w:val="24"/>
          <w:szCs w:val="24"/>
        </w:rPr>
      </w:pPr>
    </w:p>
    <w:p w:rsidR="00DC0B68" w:rsidRPr="006D44E5" w:rsidRDefault="00DC0B68" w:rsidP="006D44E5">
      <w:pPr>
        <w:pStyle w:val="Listeavsnitt"/>
        <w:numPr>
          <w:ilvl w:val="0"/>
          <w:numId w:val="2"/>
        </w:numPr>
        <w:ind w:left="851" w:hanging="425"/>
        <w:rPr>
          <w:rFonts w:ascii="Times New Roman" w:hAnsi="Times New Roman" w:cs="Times New Roman"/>
          <w:sz w:val="24"/>
          <w:szCs w:val="24"/>
        </w:rPr>
      </w:pPr>
      <w:r w:rsidRPr="006D44E5">
        <w:rPr>
          <w:rFonts w:ascii="Times New Roman" w:hAnsi="Times New Roman" w:cs="Times New Roman"/>
          <w:sz w:val="24"/>
          <w:szCs w:val="24"/>
        </w:rPr>
        <w:t xml:space="preserve">Saker som skal gjennomføres i fysisk rettsmøte behandles i samsvar med </w:t>
      </w:r>
      <w:hyperlink r:id="rId10" w:anchor="document/SF/forskrift/2021-03-19-762?searchResultContext=1624&amp;rowNumber=13&amp;totalHits=165" w:history="1">
        <w:r w:rsidRPr="006D44E5">
          <w:rPr>
            <w:rStyle w:val="Hyperkobling"/>
            <w:rFonts w:ascii="Times New Roman" w:hAnsi="Times New Roman" w:cs="Times New Roman"/>
            <w:sz w:val="24"/>
            <w:szCs w:val="24"/>
          </w:rPr>
          <w:t>forskrift om fordelingen av sakene i domstolene</w:t>
        </w:r>
      </w:hyperlink>
      <w:r w:rsidRPr="006D44E5">
        <w:rPr>
          <w:rFonts w:ascii="Times New Roman" w:hAnsi="Times New Roman" w:cs="Times New Roman"/>
          <w:sz w:val="24"/>
          <w:szCs w:val="24"/>
        </w:rPr>
        <w:t>, fortrinnsvis av dommer med fast kontorsted ved rettsstedet der saken «hører hjemme». Saker med fysisk rettsmøte tildeles primært dommer ved et annet rettssted enn saken skal gjennomføres når det kreves for å avvikle saken innen lovens frist og for øvrig når det er hensiktsmessig for å oppnå rasjonell ressursutnyttelse. Dommeren skal i så fall varsles særskilt med «bjelle» i lovisa og det skal føres oversikt over sakstildeling ved annet rettssted enn dommerens faste. Dersom dommeren vurderer den konkrete tildelingen som uheldig tar vedkommende kontakt med sorenskriver / nestleder for å vurdere omfordeling.</w:t>
      </w:r>
    </w:p>
    <w:p w:rsidR="00DC0B68" w:rsidRDefault="00DC0B68" w:rsidP="00DC0B68">
      <w:pPr>
        <w:pStyle w:val="Listeavsnitt"/>
        <w:rPr>
          <w:rFonts w:ascii="Times New Roman" w:hAnsi="Times New Roman" w:cs="Times New Roman"/>
          <w:sz w:val="24"/>
          <w:szCs w:val="24"/>
        </w:rPr>
      </w:pPr>
    </w:p>
    <w:p w:rsidR="00DC0B68" w:rsidRDefault="00DC0B68" w:rsidP="006D44E5">
      <w:pPr>
        <w:pStyle w:val="Listeavsnitt"/>
        <w:numPr>
          <w:ilvl w:val="0"/>
          <w:numId w:val="2"/>
        </w:numPr>
        <w:ind w:left="851" w:hanging="425"/>
        <w:rPr>
          <w:rFonts w:ascii="Times New Roman" w:hAnsi="Times New Roman" w:cs="Times New Roman"/>
          <w:sz w:val="24"/>
          <w:szCs w:val="24"/>
        </w:rPr>
      </w:pPr>
      <w:r>
        <w:rPr>
          <w:rFonts w:ascii="Times New Roman" w:hAnsi="Times New Roman" w:cs="Times New Roman"/>
          <w:sz w:val="24"/>
          <w:szCs w:val="24"/>
        </w:rPr>
        <w:t>Saker uten fysisk rettsmøte fordeles uavhengig av geografi.</w:t>
      </w:r>
    </w:p>
    <w:p w:rsidR="00DC0B68" w:rsidRDefault="00DC0B68" w:rsidP="00DC0B68">
      <w:pPr>
        <w:pStyle w:val="Listeavsnitt"/>
        <w:rPr>
          <w:rFonts w:ascii="Times New Roman" w:hAnsi="Times New Roman" w:cs="Times New Roman"/>
          <w:sz w:val="24"/>
          <w:szCs w:val="24"/>
        </w:rPr>
      </w:pPr>
    </w:p>
    <w:p w:rsidR="00135572" w:rsidRPr="00135572" w:rsidRDefault="00DC0B68" w:rsidP="00135572">
      <w:pPr>
        <w:pStyle w:val="Listeavsnitt"/>
        <w:numPr>
          <w:ilvl w:val="0"/>
          <w:numId w:val="2"/>
        </w:numPr>
        <w:ind w:left="851" w:hanging="425"/>
        <w:rPr>
          <w:rFonts w:ascii="Times New Roman" w:hAnsi="Times New Roman" w:cs="Times New Roman"/>
          <w:sz w:val="24"/>
          <w:szCs w:val="24"/>
        </w:rPr>
      </w:pPr>
      <w:r w:rsidRPr="00135572">
        <w:rPr>
          <w:rFonts w:ascii="Times New Roman" w:hAnsi="Times New Roman" w:cs="Times New Roman"/>
          <w:sz w:val="24"/>
          <w:szCs w:val="24"/>
        </w:rPr>
        <w:t xml:space="preserve">Sakene fordeles normalt til dommeren ved innkomst. Saker kan likevel forberedes av annen dommer enn hovedforhandlingsdommeren i den utstrekning det er hensiktsmessig for en rasjonell ressursutnyttelse, typisk ifm. fravær og i mindre saker. </w:t>
      </w:r>
    </w:p>
    <w:p w:rsidR="00135572" w:rsidRDefault="00135572" w:rsidP="00135572">
      <w:pPr>
        <w:pStyle w:val="Listeavsnitt"/>
        <w:ind w:left="851"/>
        <w:rPr>
          <w:rFonts w:ascii="Times New Roman" w:hAnsi="Times New Roman" w:cs="Times New Roman"/>
          <w:sz w:val="24"/>
          <w:szCs w:val="24"/>
        </w:rPr>
      </w:pPr>
    </w:p>
    <w:p w:rsidR="009615A0" w:rsidRDefault="00DC0B68" w:rsidP="009615A0">
      <w:pPr>
        <w:pStyle w:val="Listeavsnitt"/>
        <w:numPr>
          <w:ilvl w:val="0"/>
          <w:numId w:val="2"/>
        </w:numPr>
        <w:ind w:left="851" w:hanging="425"/>
        <w:rPr>
          <w:rFonts w:ascii="Times New Roman" w:hAnsi="Times New Roman" w:cs="Times New Roman"/>
          <w:sz w:val="24"/>
          <w:szCs w:val="24"/>
        </w:rPr>
      </w:pPr>
      <w:r w:rsidRPr="00DC0B68">
        <w:rPr>
          <w:rFonts w:ascii="Times New Roman" w:hAnsi="Times New Roman" w:cs="Times New Roman"/>
          <w:sz w:val="24"/>
          <w:szCs w:val="24"/>
        </w:rPr>
        <w:t xml:space="preserve">Omfordeling skjer </w:t>
      </w:r>
      <w:r w:rsidRPr="009F4E30">
        <w:rPr>
          <w:rFonts w:ascii="Times New Roman" w:hAnsi="Times New Roman" w:cs="Times New Roman"/>
          <w:sz w:val="24"/>
          <w:szCs w:val="24"/>
        </w:rPr>
        <w:t>normalt</w:t>
      </w:r>
      <w:r w:rsidRPr="00DC0B68">
        <w:rPr>
          <w:rFonts w:ascii="Times New Roman" w:hAnsi="Times New Roman" w:cs="Times New Roman"/>
          <w:sz w:val="24"/>
          <w:szCs w:val="24"/>
        </w:rPr>
        <w:t xml:space="preserve"> i samråd med dommeren</w:t>
      </w:r>
      <w:r w:rsidR="00940911">
        <w:rPr>
          <w:rFonts w:ascii="Times New Roman" w:hAnsi="Times New Roman" w:cs="Times New Roman"/>
          <w:sz w:val="24"/>
          <w:szCs w:val="24"/>
        </w:rPr>
        <w:t xml:space="preserve"> som frigis fra en sak</w:t>
      </w:r>
      <w:r w:rsidR="009615A0">
        <w:rPr>
          <w:rFonts w:ascii="Times New Roman" w:hAnsi="Times New Roman" w:cs="Times New Roman"/>
          <w:sz w:val="24"/>
          <w:szCs w:val="24"/>
        </w:rPr>
        <w:t>.</w:t>
      </w:r>
    </w:p>
    <w:p w:rsidR="009615A0" w:rsidRPr="009615A0" w:rsidRDefault="009615A0" w:rsidP="009615A0">
      <w:pPr>
        <w:pStyle w:val="Listeavsnitt"/>
        <w:rPr>
          <w:rFonts w:ascii="Times New Roman" w:hAnsi="Times New Roman" w:cs="Times New Roman"/>
          <w:sz w:val="24"/>
          <w:szCs w:val="24"/>
        </w:rPr>
      </w:pPr>
    </w:p>
    <w:p w:rsidR="009615A0" w:rsidRDefault="009615A0" w:rsidP="009615A0">
      <w:pPr>
        <w:pStyle w:val="Listeavsnitt"/>
        <w:numPr>
          <w:ilvl w:val="0"/>
          <w:numId w:val="2"/>
        </w:numPr>
        <w:ind w:left="851" w:hanging="425"/>
        <w:rPr>
          <w:rFonts w:ascii="Times New Roman" w:hAnsi="Times New Roman" w:cs="Times New Roman"/>
          <w:sz w:val="24"/>
          <w:szCs w:val="24"/>
        </w:rPr>
      </w:pPr>
      <w:r w:rsidRPr="009615A0">
        <w:rPr>
          <w:rFonts w:ascii="Times New Roman" w:hAnsi="Times New Roman" w:cs="Times New Roman"/>
          <w:sz w:val="24"/>
          <w:szCs w:val="24"/>
        </w:rPr>
        <w:lastRenderedPageBreak/>
        <w:t>Faggruppeleder skal rutinemessig vurderes rullert hvert 3. år. Utgangspunktet er at det skal vurderes rullering av alle faggruppelederne i 2024, likevel slik at ikke alle faggruppelederne bør byttes ut samtidig</w:t>
      </w:r>
    </w:p>
    <w:p w:rsidR="009615A0" w:rsidRPr="009615A0" w:rsidRDefault="009615A0" w:rsidP="009615A0">
      <w:pPr>
        <w:pStyle w:val="Listeavsnitt"/>
        <w:rPr>
          <w:rFonts w:ascii="Times New Roman" w:hAnsi="Times New Roman" w:cs="Times New Roman"/>
          <w:sz w:val="24"/>
          <w:szCs w:val="24"/>
        </w:rPr>
      </w:pPr>
    </w:p>
    <w:p w:rsidR="009615A0" w:rsidRPr="009615A0" w:rsidRDefault="009615A0" w:rsidP="009615A0">
      <w:pPr>
        <w:pStyle w:val="Listeavsnitt"/>
        <w:numPr>
          <w:ilvl w:val="0"/>
          <w:numId w:val="2"/>
        </w:numPr>
        <w:ind w:left="851" w:hanging="425"/>
        <w:rPr>
          <w:rFonts w:ascii="Times New Roman" w:hAnsi="Times New Roman" w:cs="Times New Roman"/>
          <w:sz w:val="24"/>
          <w:szCs w:val="24"/>
        </w:rPr>
      </w:pPr>
      <w:r w:rsidRPr="009615A0">
        <w:rPr>
          <w:rFonts w:ascii="Times New Roman" w:hAnsi="Times New Roman" w:cs="Times New Roman"/>
          <w:sz w:val="24"/>
          <w:szCs w:val="24"/>
        </w:rPr>
        <w:t xml:space="preserve">Medlemmene / sammensetningen av alle faggruppene skal rutinemessig vurderes hvert 5. år, likevel slik at det kan gjøres løpende vurderinger ved behov og især derom noen ønsker å tre ut av noen av gruppene. Ved vurderingene må det tas hensyn til behovet for fornyelse og kontinuitet / opparbeidet kompetanse. </w:t>
      </w:r>
    </w:p>
    <w:p w:rsidR="00E061F9" w:rsidRPr="00E061F9" w:rsidRDefault="00E061F9" w:rsidP="00E061F9">
      <w:pPr>
        <w:rPr>
          <w:rFonts w:ascii="Times New Roman" w:hAnsi="Times New Roman" w:cs="Times New Roman"/>
          <w:sz w:val="24"/>
          <w:szCs w:val="24"/>
        </w:rPr>
      </w:pPr>
    </w:p>
    <w:sectPr w:rsidR="00E061F9" w:rsidRPr="00E061F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F34" w:rsidRDefault="00F55F34" w:rsidP="006D44E5">
      <w:pPr>
        <w:spacing w:after="0" w:line="240" w:lineRule="auto"/>
      </w:pPr>
      <w:r>
        <w:separator/>
      </w:r>
    </w:p>
  </w:endnote>
  <w:endnote w:type="continuationSeparator" w:id="0">
    <w:p w:rsidR="00F55F34" w:rsidRDefault="00F55F34" w:rsidP="006D4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6B7" w:rsidRDefault="00E061F9">
    <w:pPr>
      <w:pStyle w:val="Bunntekst"/>
    </w:pPr>
    <w:r>
      <w:t>Ordning for sakstildeling – Trøndelag tingrett 05.10.2021</w:t>
    </w:r>
    <w:r w:rsidR="009615A0">
      <w:t>, revidert 21.12.2022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F34" w:rsidRDefault="00F55F34" w:rsidP="006D44E5">
      <w:pPr>
        <w:spacing w:after="0" w:line="240" w:lineRule="auto"/>
      </w:pPr>
      <w:r>
        <w:separator/>
      </w:r>
    </w:p>
  </w:footnote>
  <w:footnote w:type="continuationSeparator" w:id="0">
    <w:p w:rsidR="00F55F34" w:rsidRDefault="00F55F34" w:rsidP="006D44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B2CA1"/>
    <w:multiLevelType w:val="hybridMultilevel"/>
    <w:tmpl w:val="ADCE6A1C"/>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 w15:restartNumberingAfterBreak="0">
    <w:nsid w:val="60F14DCF"/>
    <w:multiLevelType w:val="hybridMultilevel"/>
    <w:tmpl w:val="BE52C83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2A3392F"/>
    <w:multiLevelType w:val="hybridMultilevel"/>
    <w:tmpl w:val="319A34D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B68"/>
    <w:rsid w:val="00135572"/>
    <w:rsid w:val="00402D49"/>
    <w:rsid w:val="005957BD"/>
    <w:rsid w:val="006D44E5"/>
    <w:rsid w:val="007936DF"/>
    <w:rsid w:val="00940911"/>
    <w:rsid w:val="009615A0"/>
    <w:rsid w:val="009D406D"/>
    <w:rsid w:val="009F4E30"/>
    <w:rsid w:val="00AE408B"/>
    <w:rsid w:val="00B913F1"/>
    <w:rsid w:val="00C8208F"/>
    <w:rsid w:val="00DC0B68"/>
    <w:rsid w:val="00E061F9"/>
    <w:rsid w:val="00E565F3"/>
    <w:rsid w:val="00F55F3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BF355FB-7356-4F03-9226-40E5A7E2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B68"/>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DC0B68"/>
    <w:rPr>
      <w:color w:val="0563C1" w:themeColor="hyperlink"/>
      <w:u w:val="single"/>
    </w:rPr>
  </w:style>
  <w:style w:type="paragraph" w:styleId="Listeavsnitt">
    <w:name w:val="List Paragraph"/>
    <w:basedOn w:val="Normal"/>
    <w:uiPriority w:val="34"/>
    <w:qFormat/>
    <w:rsid w:val="00DC0B68"/>
    <w:pPr>
      <w:ind w:left="720"/>
      <w:contextualSpacing/>
    </w:pPr>
  </w:style>
  <w:style w:type="paragraph" w:styleId="Topptekst">
    <w:name w:val="header"/>
    <w:basedOn w:val="Normal"/>
    <w:link w:val="TopptekstTegn"/>
    <w:uiPriority w:val="99"/>
    <w:unhideWhenUsed/>
    <w:rsid w:val="00DC0B6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C0B68"/>
  </w:style>
  <w:style w:type="paragraph" w:styleId="Bunntekst">
    <w:name w:val="footer"/>
    <w:basedOn w:val="Normal"/>
    <w:link w:val="BunntekstTegn"/>
    <w:uiPriority w:val="99"/>
    <w:unhideWhenUsed/>
    <w:rsid w:val="00DC0B6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C0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mstol.no/globalassets/upload/internett_fillister/da/publikasjoner/rapporter/2013-og-tidligere/delrapporter-lok-prosjekt-pdf.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m.coe.int/168074823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ovdata.no/pro/" TargetMode="External"/><Relationship Id="rId4" Type="http://schemas.openxmlformats.org/officeDocument/2006/relationships/webSettings" Target="webSettings.xml"/><Relationship Id="rId9" Type="http://schemas.openxmlformats.org/officeDocument/2006/relationships/hyperlink" Target="https://www.regjeringen.no/no/dokumenter/nou-2020-11/id2766587/?ch=4"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3037</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Domstoladministrasjonen</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Østerbø, Leif Otto</dc:creator>
  <cp:keywords/>
  <dc:description/>
  <cp:lastModifiedBy>Holthe, Vibeke</cp:lastModifiedBy>
  <cp:revision>2</cp:revision>
  <dcterms:created xsi:type="dcterms:W3CDTF">2023-01-19T13:59:00Z</dcterms:created>
  <dcterms:modified xsi:type="dcterms:W3CDTF">2023-01-19T13:59:00Z</dcterms:modified>
</cp:coreProperties>
</file>